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phase1-entity</w:t>
      </w:r>
    </w:p>
    <w:p>
      <w:r>
        <w:t>Completeness tier: 50 percent</w:t>
      </w:r>
    </w:p>
    <w:p/>
    <w:p>
      <w:r>
        <w:t>Applicant Entity.</w:t>
      </w:r>
    </w:p>
    <w:p>
      <w:r>
        <w:t>Producers Organization.</w:t>
      </w:r>
    </w:p>
    <w:p>
      <w:r>
        <w:t>LGU.</w:t>
      </w:r>
    </w:p>
    <w:p>
      <w:r>
        <w:t>Certificates.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