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phase1-entity</w:t>
      </w:r>
    </w:p>
    <w:p>
      <w:r>
        <w:t>Completeness tier: 75 percent</w:t>
      </w:r>
    </w:p>
    <w:p/>
    <w:p>
      <w:r>
        <w:t>Applicant Entity.</w:t>
      </w:r>
    </w:p>
    <w:p>
      <w:r>
        <w:t>Producers Organization.</w:t>
      </w:r>
    </w:p>
    <w:p>
      <w:r>
        <w:t>Legal Standing.</w:t>
      </w:r>
    </w:p>
    <w:p>
      <w:r>
        <w:t>LGU.</w:t>
      </w:r>
    </w:p>
    <w:p>
      <w:r>
        <w:t>Certificates.</w:t>
      </w:r>
    </w:p>
    <w:p>
      <w:r>
        <w:t>Bylaws.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