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phase1-stakeholders</w:t>
      </w:r>
    </w:p>
    <w:p>
      <w:r>
        <w:t>Completeness tier: 100 percent</w:t>
      </w:r>
    </w:p>
    <w:p/>
    <w:p>
      <w:r>
        <w:t>Stakeholder Consultations.</w:t>
      </w:r>
    </w:p>
    <w:p>
      <w:r>
        <w:t>Meeting Minutes.</w:t>
      </w:r>
    </w:p>
    <w:p>
      <w:r>
        <w:t>Consensus.</w:t>
      </w:r>
    </w:p>
    <w:p>
      <w:r>
        <w:t>Governance Board.</w:t>
      </w:r>
    </w:p>
    <w:p>
      <w:r>
        <w:t>Attendance Sheets.</w:t>
      </w:r>
    </w:p>
    <w:p>
      <w:r>
        <w:t>Agreement Documents.</w:t>
      </w:r>
    </w:p>
    <w:p>
      <w:r>
        <w:t>Industry Groups.</w:t>
      </w:r>
    </w:p>
    <w:p>
      <w:r>
        <w:t>Community Support.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