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phase1-stakeholders</w:t>
      </w:r>
    </w:p>
    <w:p>
      <w:r>
        <w:t>Completeness tier: 75 percent</w:t>
      </w:r>
    </w:p>
    <w:p/>
    <w:p>
      <w:r>
        <w:t>Stakeholder Consultations.</w:t>
      </w:r>
    </w:p>
    <w:p>
      <w:r>
        <w:t>Meeting Minutes.</w:t>
      </w:r>
    </w:p>
    <w:p>
      <w:r>
        <w:t>Consensus.</w:t>
      </w:r>
    </w:p>
    <w:p>
      <w:r>
        <w:t>Attendance Sheets.</w:t>
      </w:r>
    </w:p>
    <w:p>
      <w:r>
        <w:t>Agreement Documents.</w:t>
      </w:r>
    </w:p>
    <w:p>
      <w:r>
        <w:t>Industry Groups.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