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phase2-mop</w:t>
      </w:r>
    </w:p>
    <w:p>
      <w:r>
        <w:t>Completeness tier: 100 percent</w:t>
      </w:r>
    </w:p>
    <w:p/>
    <w:p>
      <w:r>
        <w:t>Manual of Specifications.</w:t>
      </w:r>
    </w:p>
    <w:p>
      <w:r>
        <w:t>Causal Link.</w:t>
      </w:r>
    </w:p>
    <w:p>
      <w:r>
        <w:t>Production Process.</w:t>
      </w:r>
    </w:p>
    <w:p>
      <w:r>
        <w:t>Quality Control.</w:t>
      </w:r>
    </w:p>
    <w:p>
      <w:r>
        <w:t>Labeling Rules.</w:t>
      </w:r>
    </w:p>
    <w:p>
      <w:r>
        <w:t>Geographical Area.</w:t>
      </w:r>
    </w:p>
    <w:p>
      <w:r>
        <w:t>Territorial Boundaries.</w:t>
      </w:r>
    </w:p>
    <w:p>
      <w:r>
        <w:t>Soil Composition.</w:t>
      </w:r>
    </w:p>
    <w:p>
      <w:r>
        <w:t>Climate Factors.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