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phase2-mop</w:t>
      </w:r>
    </w:p>
    <w:p>
      <w:r>
        <w:t>Completeness tier: 50 percent</w:t>
      </w:r>
    </w:p>
    <w:p/>
    <w:p>
      <w:r>
        <w:t>Manual of Specifications.</w:t>
      </w:r>
    </w:p>
    <w:p>
      <w:r>
        <w:t>Causal Link.</w:t>
      </w:r>
    </w:p>
    <w:p>
      <w:r>
        <w:t>Production Process.</w:t>
      </w:r>
    </w:p>
    <w:p>
      <w:r>
        <w:t>Geographical Area.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