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phase4-exam</w:t>
      </w:r>
    </w:p>
    <w:p>
      <w:r>
        <w:t>Completeness tier: 75 percent</w:t>
      </w:r>
    </w:p>
    <w:p/>
    <w:p>
      <w:r>
        <w:t>Formality Examination.</w:t>
      </w:r>
    </w:p>
    <w:p>
      <w:r>
        <w:t>Substantive Examination.</w:t>
      </w:r>
    </w:p>
    <w:p>
      <w:r>
        <w:t>Examination Reports.</w:t>
      </w:r>
    </w:p>
    <w:p>
      <w:r>
        <w:t>Clarifications.</w:t>
      </w:r>
    </w:p>
    <w:p>
      <w:r>
        <w:t>Technical Responses.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