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phase4-response</w:t>
      </w:r>
    </w:p>
    <w:p>
      <w:r>
        <w:t>Completeness tier: 35 percent</w:t>
      </w:r>
    </w:p>
    <w:p/>
    <w:p>
      <w:r>
        <w:t>Deficiency Notice Response.</w:t>
      </w:r>
    </w:p>
    <w:p>
      <w:r>
        <w:t>Extensions.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