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phase4-response</w:t>
      </w:r>
    </w:p>
    <w:p>
      <w:r>
        <w:t>Completeness tier: 50 percent</w:t>
      </w:r>
    </w:p>
    <w:p/>
    <w:p>
      <w:r>
        <w:t>Deficiency Notice Response.</w:t>
      </w:r>
    </w:p>
    <w:p>
      <w:r>
        <w:t>Timeframe Compliance.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