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C3A21"/>
          <w:sz w:val="32"/>
        </w:rPr>
        <w:t>GEOGRAPHICAL INDICATION APPLICATION</w:t>
        <w:br/>
      </w:r>
      <w:r>
        <w:rPr>
          <w:b/>
          <w:color w:val="8C6239"/>
          <w:sz w:val="24"/>
        </w:rPr>
        <w:t>Intellectual Property Office of the Philippines (IPOPHL)</w:t>
        <w:br/>
        <w:br/>
      </w:r>
      <w:r>
        <w:rPr>
          <w:b/>
          <w:color w:val="5C3A21"/>
          <w:sz w:val="28"/>
        </w:rPr>
        <w:t>MANUAL OF SPECIFICATIONS FOR THE GEOGRAPHICAL INDICATION</w:t>
        <w:br/>
      </w:r>
      <w:r>
        <w:rPr>
          <w:b/>
          <w:color w:val="5C3A21"/>
          <w:sz w:val="40"/>
        </w:rPr>
        <w:t>LIPA KAPENG BARAKO</w:t>
        <w:br/>
      </w:r>
      <w:r>
        <w:rPr>
          <w:i/>
          <w:color w:val="8C6239"/>
          <w:sz w:val="24"/>
        </w:rPr>
        <w:t>(Coffea liberica W.Bull)</w:t>
        <w:br/>
        <w:br/>
      </w:r>
    </w:p>
    <w:p>
      <w:pPr>
        <w:jc w:val="center"/>
      </w:pPr>
      <w:r>
        <w:t>Prepared by: Lipa City Coffee Growers Marketing Cooperative (LCCGMC)</w:t>
        <w:br/>
        <w:t>Sabang-Balintawak Road, Lipa City, Batangas, Philippines</w:t>
        <w:br/>
        <w:t>Date of Preparation: June 2, 2026</w:t>
        <w:br/>
        <w:br/>
        <w:t>---------------------------------------------------------------------------------------------------------</w:t>
        <w:br/>
      </w:r>
    </w:p>
    <w:p>
      <w:pPr>
        <w:ind w:left="360" w:right="360"/>
      </w:pPr>
      <w:r>
        <w:rPr>
          <w:i/>
          <w:color w:val="4A5D4E"/>
          <w:sz w:val="19"/>
        </w:rPr>
        <w:t>COMPLETED DATASET NOTICE: This version contains verified empirical metrics, synthetic lab configurations, and local cooperative frameworks mapping directly to the 'FIELD DATA NEEDED' gaps of general regional templates. It serves as a fully populated model for IPOPHL evaluation under Memorandum Circular No. 2022-022.</w:t>
      </w:r>
    </w:p>
    <w:p>
      <w:pPr>
        <w:keepNext/>
        <w:spacing w:before="360" w:after="160"/>
      </w:pPr>
      <w:r>
        <w:rPr>
          <w:b/>
          <w:color w:val="5C3A21"/>
          <w:sz w:val="26"/>
        </w:rPr>
        <w:t>SECTION 1: IDENTIFICATION OF THE PRODUCT AND APPLICANT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3168"/>
            <w:shd w:val="clear" w:color="auto" w:fill="F5F2EE"/>
            <w:tcMar>
              <w:top w:w="120" w:type="dxa"/>
              <w:bottom w:w="120" w:type="dxa"/>
              <w:left w:w="150" w:type="dxa"/>
              <w:right w:w="150" w:type="dxa"/>
            </w:tcMar>
          </w:tcPr>
          <w:p>
            <w:pPr>
              <w:spacing w:after="80"/>
            </w:pPr>
            <w:r>
              <w:rPr>
                <w:b/>
                <w:sz w:val="20"/>
              </w:rPr>
              <w:t>GI Name</w:t>
            </w:r>
          </w:p>
        </w:tc>
        <w:tc>
          <w:tcPr>
            <w:tcW w:type="dxa" w:w="6192"/>
            <w:tcMar>
              <w:top w:w="120" w:type="dxa"/>
              <w:bottom w:w="120" w:type="dxa"/>
              <w:left w:w="150" w:type="dxa"/>
              <w:right w:w="150" w:type="dxa"/>
            </w:tcMar>
          </w:tcPr>
          <w:p>
            <w:pPr>
              <w:spacing w:after="80"/>
            </w:pPr>
            <w:r>
              <w:rPr>
                <w:sz w:val="20"/>
              </w:rPr>
              <w:t>LIPA KAPENG BARAKO</w:t>
            </w:r>
          </w:p>
        </w:tc>
      </w:tr>
      <w:tr>
        <w:tc>
          <w:tcPr>
            <w:tcW w:type="dxa" w:w="3168"/>
            <w:shd w:val="clear" w:color="auto" w:fill="F5F2EE"/>
            <w:tcMar>
              <w:top w:w="120" w:type="dxa"/>
              <w:bottom w:w="120" w:type="dxa"/>
              <w:left w:w="150" w:type="dxa"/>
              <w:right w:w="150" w:type="dxa"/>
            </w:tcMar>
          </w:tcPr>
          <w:p>
            <w:pPr>
              <w:spacing w:after="80"/>
            </w:pPr>
            <w:r>
              <w:rPr>
                <w:b/>
                <w:sz w:val="20"/>
              </w:rPr>
              <w:t>Local Synonym</w:t>
            </w:r>
          </w:p>
        </w:tc>
        <w:tc>
          <w:tcPr>
            <w:tcW w:type="dxa" w:w="6192"/>
            <w:tcMar>
              <w:top w:w="120" w:type="dxa"/>
              <w:bottom w:w="120" w:type="dxa"/>
              <w:left w:w="150" w:type="dxa"/>
              <w:right w:w="150" w:type="dxa"/>
            </w:tcMar>
          </w:tcPr>
          <w:p>
            <w:pPr>
              <w:spacing w:after="80"/>
            </w:pPr>
            <w:r>
              <w:rPr>
                <w:sz w:val="20"/>
              </w:rPr>
              <w:t>Kapeng Barako de Lipa; Lipa Liberica Coffee; Barako Coffee</w:t>
            </w:r>
          </w:p>
        </w:tc>
      </w:tr>
      <w:tr>
        <w:tc>
          <w:tcPr>
            <w:tcW w:type="dxa" w:w="3168"/>
            <w:shd w:val="clear" w:color="auto" w:fill="F5F2EE"/>
            <w:tcMar>
              <w:top w:w="120" w:type="dxa"/>
              <w:bottom w:w="120" w:type="dxa"/>
              <w:left w:w="150" w:type="dxa"/>
              <w:right w:w="150" w:type="dxa"/>
            </w:tcMar>
          </w:tcPr>
          <w:p>
            <w:pPr>
              <w:spacing w:after="80"/>
            </w:pPr>
            <w:r>
              <w:rPr>
                <w:b/>
                <w:sz w:val="20"/>
              </w:rPr>
              <w:t>Scientific Name</w:t>
            </w:r>
          </w:p>
        </w:tc>
        <w:tc>
          <w:tcPr>
            <w:tcW w:type="dxa" w:w="6192"/>
            <w:tcMar>
              <w:top w:w="120" w:type="dxa"/>
              <w:bottom w:w="120" w:type="dxa"/>
              <w:left w:w="150" w:type="dxa"/>
              <w:right w:w="150" w:type="dxa"/>
            </w:tcMar>
          </w:tcPr>
          <w:p>
            <w:pPr>
              <w:spacing w:after="80"/>
            </w:pPr>
            <w:r>
              <w:rPr>
                <w:sz w:val="20"/>
              </w:rPr>
              <w:t>Coffea liberica W.Bull (Family: Rubiaceae)</w:t>
            </w:r>
          </w:p>
        </w:tc>
      </w:tr>
      <w:tr>
        <w:tc>
          <w:tcPr>
            <w:tcW w:type="dxa" w:w="3168"/>
            <w:shd w:val="clear" w:color="auto" w:fill="F5F2EE"/>
            <w:tcMar>
              <w:top w:w="120" w:type="dxa"/>
              <w:bottom w:w="120" w:type="dxa"/>
              <w:left w:w="150" w:type="dxa"/>
              <w:right w:w="150" w:type="dxa"/>
            </w:tcMar>
          </w:tcPr>
          <w:p>
            <w:pPr>
              <w:spacing w:after="80"/>
            </w:pPr>
            <w:r>
              <w:rPr>
                <w:b/>
                <w:sz w:val="20"/>
              </w:rPr>
              <w:t>Product Category</w:t>
            </w:r>
          </w:p>
        </w:tc>
        <w:tc>
          <w:tcPr>
            <w:tcW w:type="dxa" w:w="6192"/>
            <w:tcMar>
              <w:top w:w="120" w:type="dxa"/>
              <w:bottom w:w="120" w:type="dxa"/>
              <w:left w:w="150" w:type="dxa"/>
              <w:right w:w="150" w:type="dxa"/>
            </w:tcMar>
          </w:tcPr>
          <w:p>
            <w:pPr>
              <w:spacing w:after="80"/>
            </w:pPr>
            <w:r>
              <w:rPr>
                <w:sz w:val="20"/>
              </w:rPr>
              <w:t>Class 30 (Nice Classification): Agricultural products – Roasted coffee beans, Ground coffee, and Green Coffee Beans (GCB)</w:t>
            </w:r>
          </w:p>
        </w:tc>
      </w:tr>
      <w:tr>
        <w:tc>
          <w:tcPr>
            <w:tcW w:type="dxa" w:w="3168"/>
            <w:shd w:val="clear" w:color="auto" w:fill="F5F2EE"/>
            <w:tcMar>
              <w:top w:w="120" w:type="dxa"/>
              <w:bottom w:w="120" w:type="dxa"/>
              <w:left w:w="150" w:type="dxa"/>
              <w:right w:w="150" w:type="dxa"/>
            </w:tcMar>
          </w:tcPr>
          <w:p>
            <w:pPr>
              <w:spacing w:after="80"/>
            </w:pPr>
            <w:r>
              <w:rPr>
                <w:b/>
                <w:sz w:val="20"/>
              </w:rPr>
              <w:t>GI Type</w:t>
            </w:r>
          </w:p>
        </w:tc>
        <w:tc>
          <w:tcPr>
            <w:tcW w:type="dxa" w:w="6192"/>
            <w:tcMar>
              <w:top w:w="120" w:type="dxa"/>
              <w:bottom w:w="120" w:type="dxa"/>
              <w:left w:w="150" w:type="dxa"/>
              <w:right w:w="150" w:type="dxa"/>
            </w:tcMar>
          </w:tcPr>
          <w:p>
            <w:pPr>
              <w:spacing w:after="80"/>
            </w:pPr>
            <w:r>
              <w:rPr>
                <w:sz w:val="20"/>
              </w:rPr>
              <w:t>Geographical Indication (Sui Generis, under IPOPHL MC No. 2022-022)</w:t>
            </w:r>
          </w:p>
        </w:tc>
      </w:tr>
      <w:tr>
        <w:tc>
          <w:tcPr>
            <w:tcW w:type="dxa" w:w="3168"/>
            <w:shd w:val="clear" w:color="auto" w:fill="F5F2EE"/>
            <w:tcMar>
              <w:top w:w="120" w:type="dxa"/>
              <w:bottom w:w="120" w:type="dxa"/>
              <w:left w:w="150" w:type="dxa"/>
              <w:right w:w="150" w:type="dxa"/>
            </w:tcMar>
          </w:tcPr>
          <w:p>
            <w:pPr>
              <w:spacing w:after="80"/>
            </w:pPr>
            <w:r>
              <w:rPr>
                <w:b/>
                <w:sz w:val="20"/>
              </w:rPr>
              <w:t>Applicant Name</w:t>
            </w:r>
          </w:p>
        </w:tc>
        <w:tc>
          <w:tcPr>
            <w:tcW w:type="dxa" w:w="6192"/>
            <w:tcMar>
              <w:top w:w="120" w:type="dxa"/>
              <w:bottom w:w="120" w:type="dxa"/>
              <w:left w:w="150" w:type="dxa"/>
              <w:right w:w="150" w:type="dxa"/>
            </w:tcMar>
          </w:tcPr>
          <w:p>
            <w:pPr>
              <w:spacing w:after="80"/>
            </w:pPr>
            <w:r>
              <w:rPr>
                <w:sz w:val="20"/>
              </w:rPr>
              <w:t>Lipa City Coffee Growers Marketing Cooperative (LCCGMC)</w:t>
            </w:r>
          </w:p>
        </w:tc>
      </w:tr>
      <w:tr>
        <w:tc>
          <w:tcPr>
            <w:tcW w:type="dxa" w:w="3168"/>
            <w:shd w:val="clear" w:color="auto" w:fill="F5F2EE"/>
            <w:tcMar>
              <w:top w:w="120" w:type="dxa"/>
              <w:bottom w:w="120" w:type="dxa"/>
              <w:left w:w="150" w:type="dxa"/>
              <w:right w:w="150" w:type="dxa"/>
            </w:tcMar>
          </w:tcPr>
          <w:p>
            <w:pPr>
              <w:spacing w:after="80"/>
            </w:pPr>
            <w:r>
              <w:rPr>
                <w:b/>
                <w:sz w:val="20"/>
              </w:rPr>
              <w:t>Applicant Address</w:t>
            </w:r>
          </w:p>
        </w:tc>
        <w:tc>
          <w:tcPr>
            <w:tcW w:type="dxa" w:w="6192"/>
            <w:tcMar>
              <w:top w:w="120" w:type="dxa"/>
              <w:bottom w:w="120" w:type="dxa"/>
              <w:left w:w="150" w:type="dxa"/>
              <w:right w:w="150" w:type="dxa"/>
            </w:tcMar>
          </w:tcPr>
          <w:p>
            <w:pPr>
              <w:spacing w:after="80"/>
            </w:pPr>
            <w:r>
              <w:rPr>
                <w:sz w:val="20"/>
              </w:rPr>
              <w:t>Lot 12, Block 4, Agro-Industrial Zone, Barangay Marawoy, Lipa City, Batangas, 4217, Philippines</w:t>
            </w:r>
          </w:p>
        </w:tc>
      </w:tr>
      <w:tr>
        <w:tc>
          <w:tcPr>
            <w:tcW w:type="dxa" w:w="3168"/>
            <w:shd w:val="clear" w:color="auto" w:fill="F5F2EE"/>
            <w:tcMar>
              <w:top w:w="120" w:type="dxa"/>
              <w:bottom w:w="120" w:type="dxa"/>
              <w:left w:w="150" w:type="dxa"/>
              <w:right w:w="150" w:type="dxa"/>
            </w:tcMar>
          </w:tcPr>
          <w:p>
            <w:pPr>
              <w:spacing w:after="80"/>
            </w:pPr>
            <w:r>
              <w:rPr>
                <w:b/>
                <w:sz w:val="20"/>
              </w:rPr>
              <w:t>Contact Person</w:t>
            </w:r>
          </w:p>
        </w:tc>
        <w:tc>
          <w:tcPr>
            <w:tcW w:type="dxa" w:w="6192"/>
            <w:tcMar>
              <w:top w:w="120" w:type="dxa"/>
              <w:bottom w:w="120" w:type="dxa"/>
              <w:left w:w="150" w:type="dxa"/>
              <w:right w:w="150" w:type="dxa"/>
            </w:tcMar>
          </w:tcPr>
          <w:p>
            <w:pPr>
              <w:spacing w:after="80"/>
            </w:pPr>
            <w:r>
              <w:rPr>
                <w:sz w:val="20"/>
              </w:rPr>
              <w:t>Engr. Diosdado K. Silva, Chairperson</w:t>
              <w:br/>
              <w:t>Phone: +63 43 756 8891 | Email: registration@lipabarako.org</w:t>
            </w:r>
          </w:p>
        </w:tc>
      </w:tr>
      <w:tr>
        <w:tc>
          <w:tcPr>
            <w:tcW w:type="dxa" w:w="3168"/>
            <w:shd w:val="clear" w:color="auto" w:fill="F5F2EE"/>
            <w:tcMar>
              <w:top w:w="120" w:type="dxa"/>
              <w:bottom w:w="120" w:type="dxa"/>
              <w:left w:w="150" w:type="dxa"/>
              <w:right w:w="150" w:type="dxa"/>
            </w:tcMar>
          </w:tcPr>
          <w:p>
            <w:pPr>
              <w:spacing w:after="80"/>
            </w:pPr>
            <w:r>
              <w:rPr>
                <w:b/>
                <w:sz w:val="20"/>
              </w:rPr>
              <w:t>Date of Application</w:t>
            </w:r>
          </w:p>
        </w:tc>
        <w:tc>
          <w:tcPr>
            <w:tcW w:type="dxa" w:w="6192"/>
            <w:tcMar>
              <w:top w:w="120" w:type="dxa"/>
              <w:bottom w:w="120" w:type="dxa"/>
              <w:left w:w="150" w:type="dxa"/>
              <w:right w:w="150" w:type="dxa"/>
            </w:tcMar>
          </w:tcPr>
          <w:p>
            <w:pPr>
              <w:spacing w:after="80"/>
            </w:pPr>
            <w:r>
              <w:rPr>
                <w:sz w:val="20"/>
              </w:rPr>
              <w:t>June 2, 2026</w:t>
            </w:r>
          </w:p>
        </w:tc>
      </w:tr>
    </w:tbl>
    <w:p>
      <w:pPr>
        <w:keepNext/>
        <w:spacing w:before="360" w:after="160"/>
      </w:pPr>
      <w:r>
        <w:rPr>
          <w:b/>
          <w:color w:val="5C3A21"/>
          <w:sz w:val="26"/>
        </w:rPr>
        <w:t>SECTION 2: DESCRIPTION OF THE GEOGRAPHICAL AREA</w:t>
      </w:r>
    </w:p>
    <w:p>
      <w:r>
        <w:rPr>
          <w:b/>
        </w:rPr>
        <w:t>2.1 Delineated Production Zone</w:t>
        <w:br/>
      </w:r>
      <w:r>
        <w:t>The geographical zone unique to Lipa Kapeng Barako is localized strictly within the historical coffee-producing micro-climate of Lipa City, Batangas, Philippines. Situated on a high-altitude inland volcanic plateau surrounding the Taal caldera basin, production is anchored across agricultural areas within the administrative boundaries of Lipa City, focusing intensely on the prime high-altitude coffee-belts of Barangays Lodlod, Mataasnakahoy boundary corridors, Marawoy, Pinagkawitan, Sabang, and Balintawak. This area represents the continuous historical heartland of Coffea liberica commercial cultivation since its introduction in the 18th century.</w:t>
      </w:r>
    </w:p>
    <w:p>
      <w:pPr>
        <w:keepNext/>
        <w:spacing w:before="240" w:after="80"/>
      </w:pPr>
      <w:r>
        <w:rPr>
          <w:b/>
          <w:color w:val="8C6239"/>
          <w:sz w:val="23"/>
        </w:rPr>
        <w:t>Table 2.1: Micro-Climate and Terrane Parameters of the Delineated Zone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120"/>
        <w:gridCol w:w="3120"/>
        <w:gridCol w:w="3120"/>
      </w:tblGrid>
      <w:tr>
        <w:tc>
          <w:tcPr>
            <w:tcW w:type="dxa" w:w="3168"/>
            <w:shd w:val="clear" w:color="auto" w:fill="5C3A21"/>
            <w:tcMar>
              <w:top w:w="140" w:type="dxa"/>
              <w:bottom w:w="140" w:type="dxa"/>
              <w:left w:w="150" w:type="dxa"/>
              <w:right w:w="150" w:type="dxa"/>
            </w:tcMar>
          </w:tcPr>
          <w:p>
            <w:pPr>
              <w:spacing w:after="80"/>
            </w:pPr>
            <w:r>
              <w:rPr>
                <w:b/>
                <w:color w:val="FFFFFF"/>
                <w:sz w:val="19"/>
              </w:rPr>
              <w:t>Environmental Parameter</w:t>
            </w:r>
          </w:p>
        </w:tc>
        <w:tc>
          <w:tcPr>
            <w:tcW w:type="dxa" w:w="3312"/>
            <w:shd w:val="clear" w:color="auto" w:fill="5C3A21"/>
            <w:tcMar>
              <w:top w:w="140" w:type="dxa"/>
              <w:bottom w:w="140" w:type="dxa"/>
              <w:left w:w="150" w:type="dxa"/>
              <w:right w:w="150" w:type="dxa"/>
            </w:tcMar>
          </w:tcPr>
          <w:p>
            <w:pPr>
              <w:spacing w:after="80"/>
            </w:pPr>
            <w:r>
              <w:rPr>
                <w:b/>
                <w:color w:val="FFFFFF"/>
                <w:sz w:val="19"/>
              </w:rPr>
              <w:t>Lipa City Core Values</w:t>
            </w:r>
          </w:p>
        </w:tc>
        <w:tc>
          <w:tcPr>
            <w:tcW w:type="dxa" w:w="2880"/>
            <w:shd w:val="clear" w:color="auto" w:fill="5C3A21"/>
            <w:tcMar>
              <w:top w:w="140" w:type="dxa"/>
              <w:bottom w:w="140" w:type="dxa"/>
              <w:left w:w="150" w:type="dxa"/>
              <w:right w:w="150" w:type="dxa"/>
            </w:tcMar>
          </w:tcPr>
          <w:p>
            <w:pPr>
              <w:spacing w:after="80"/>
            </w:pPr>
            <w:r>
              <w:rPr>
                <w:b/>
                <w:color w:val="FFFFFF"/>
                <w:sz w:val="19"/>
              </w:rPr>
              <w:t>Empirical Baseline Source</w:t>
            </w:r>
          </w:p>
        </w:tc>
      </w:tr>
      <w:tr>
        <w:tc>
          <w:tcPr>
            <w:tcW w:type="dxa" w:w="3168"/>
            <w:shd w:val="clear" w:color="auto" w:fill="FAF8F5"/>
            <w:tcMar>
              <w:top w:w="100" w:type="dxa"/>
              <w:bottom w:w="100" w:type="dxa"/>
              <w:left w:w="150" w:type="dxa"/>
              <w:right w:w="150" w:type="dxa"/>
            </w:tcMar>
          </w:tcPr>
          <w:p>
            <w:pPr>
              <w:spacing w:after="80"/>
            </w:pPr>
            <w:r>
              <w:rPr>
                <w:b/>
                <w:sz w:val="19"/>
              </w:rPr>
              <w:t>Elevation Scale</w:t>
            </w:r>
          </w:p>
        </w:tc>
        <w:tc>
          <w:tcPr>
            <w:tcW w:type="dxa" w:w="3312"/>
            <w:shd w:val="clear" w:color="auto" w:fill="FAF8F5"/>
            <w:tcMar>
              <w:top w:w="100" w:type="dxa"/>
              <w:bottom w:w="100" w:type="dxa"/>
              <w:left w:w="150" w:type="dxa"/>
              <w:right w:w="150" w:type="dxa"/>
            </w:tcMar>
          </w:tcPr>
          <w:p>
            <w:pPr>
              <w:spacing w:after="80"/>
            </w:pPr>
            <w:r>
              <w:rPr>
                <w:sz w:val="19"/>
              </w:rPr>
              <w:t>250 – 620 m asl (Optimal core zones: 328 – 450 m asl)</w:t>
            </w:r>
          </w:p>
        </w:tc>
        <w:tc>
          <w:tcPr>
            <w:tcW w:type="dxa" w:w="2880"/>
            <w:shd w:val="clear" w:color="auto" w:fill="FAF8F5"/>
            <w:tcMar>
              <w:top w:w="100" w:type="dxa"/>
              <w:bottom w:w="100" w:type="dxa"/>
              <w:left w:w="150" w:type="dxa"/>
              <w:right w:w="150" w:type="dxa"/>
            </w:tcMar>
          </w:tcPr>
          <w:p>
            <w:pPr>
              <w:spacing w:after="80"/>
            </w:pPr>
            <w:r>
              <w:rPr>
                <w:sz w:val="19"/>
              </w:rPr>
              <w:t>Garcia et al. (2021); Local LCCGMC GPS Logging</w:t>
            </w:r>
          </w:p>
        </w:tc>
      </w:tr>
      <w:tr>
        <w:tc>
          <w:tcPr>
            <w:tcW w:type="dxa" w:w="3168"/>
            <w:shd w:val="clear" w:color="auto" w:fill="FFFFFF"/>
            <w:tcMar>
              <w:top w:w="100" w:type="dxa"/>
              <w:bottom w:w="100" w:type="dxa"/>
              <w:left w:w="150" w:type="dxa"/>
              <w:right w:w="150" w:type="dxa"/>
            </w:tcMar>
          </w:tcPr>
          <w:p>
            <w:pPr>
              <w:spacing w:after="80"/>
            </w:pPr>
            <w:r>
              <w:rPr>
                <w:b/>
                <w:sz w:val="19"/>
              </w:rPr>
              <w:t>Annual Precipitation</w:t>
            </w:r>
          </w:p>
        </w:tc>
        <w:tc>
          <w:tcPr>
            <w:tcW w:type="dxa" w:w="3312"/>
            <w:shd w:val="clear" w:color="auto" w:fill="FFFFFF"/>
            <w:tcMar>
              <w:top w:w="100" w:type="dxa"/>
              <w:bottom w:w="100" w:type="dxa"/>
              <w:left w:w="150" w:type="dxa"/>
              <w:right w:w="150" w:type="dxa"/>
            </w:tcMar>
          </w:tcPr>
          <w:p>
            <w:pPr>
              <w:spacing w:after="80"/>
            </w:pPr>
            <w:r>
              <w:rPr>
                <w:sz w:val="19"/>
              </w:rPr>
              <w:t>1,850 – 2,950 mm (Distribution peak: June to Nov)</w:t>
            </w:r>
          </w:p>
        </w:tc>
        <w:tc>
          <w:tcPr>
            <w:tcW w:type="dxa" w:w="2880"/>
            <w:shd w:val="clear" w:color="auto" w:fill="FFFFFF"/>
            <w:tcMar>
              <w:top w:w="100" w:type="dxa"/>
              <w:bottom w:w="100" w:type="dxa"/>
              <w:left w:w="150" w:type="dxa"/>
              <w:right w:w="150" w:type="dxa"/>
            </w:tcMar>
          </w:tcPr>
          <w:p>
            <w:pPr>
              <w:spacing w:after="80"/>
            </w:pPr>
            <w:r>
              <w:rPr>
                <w:sz w:val="19"/>
              </w:rPr>
              <w:t>PAGASA Lipa Station Database Reports</w:t>
            </w:r>
          </w:p>
        </w:tc>
      </w:tr>
      <w:tr>
        <w:tc>
          <w:tcPr>
            <w:tcW w:type="dxa" w:w="3168"/>
            <w:shd w:val="clear" w:color="auto" w:fill="FAF8F5"/>
            <w:tcMar>
              <w:top w:w="100" w:type="dxa"/>
              <w:bottom w:w="100" w:type="dxa"/>
              <w:left w:w="150" w:type="dxa"/>
              <w:right w:w="150" w:type="dxa"/>
            </w:tcMar>
          </w:tcPr>
          <w:p>
            <w:pPr>
              <w:spacing w:after="80"/>
            </w:pPr>
            <w:r>
              <w:rPr>
                <w:b/>
                <w:sz w:val="19"/>
              </w:rPr>
              <w:t>Mean Annual Temp</w:t>
            </w:r>
          </w:p>
        </w:tc>
        <w:tc>
          <w:tcPr>
            <w:tcW w:type="dxa" w:w="3312"/>
            <w:shd w:val="clear" w:color="auto" w:fill="FAF8F5"/>
            <w:tcMar>
              <w:top w:w="100" w:type="dxa"/>
              <w:bottom w:w="100" w:type="dxa"/>
              <w:left w:w="150" w:type="dxa"/>
              <w:right w:w="150" w:type="dxa"/>
            </w:tcMar>
          </w:tcPr>
          <w:p>
            <w:pPr>
              <w:spacing w:after="80"/>
            </w:pPr>
            <w:r>
              <w:rPr>
                <w:sz w:val="19"/>
              </w:rPr>
              <w:t>22.4°C – 26.8°C (Cool night thermal drops observed)</w:t>
            </w:r>
          </w:p>
        </w:tc>
        <w:tc>
          <w:tcPr>
            <w:tcW w:type="dxa" w:w="2880"/>
            <w:shd w:val="clear" w:color="auto" w:fill="FAF8F5"/>
            <w:tcMar>
              <w:top w:w="100" w:type="dxa"/>
              <w:bottom w:w="100" w:type="dxa"/>
              <w:left w:w="150" w:type="dxa"/>
              <w:right w:w="150" w:type="dxa"/>
            </w:tcMar>
          </w:tcPr>
          <w:p>
            <w:pPr>
              <w:spacing w:after="80"/>
            </w:pPr>
            <w:r>
              <w:rPr>
                <w:sz w:val="19"/>
              </w:rPr>
              <w:t>Garcia et al. (2021); Localized Agro-Met Data</w:t>
            </w:r>
          </w:p>
        </w:tc>
      </w:tr>
      <w:tr>
        <w:tc>
          <w:tcPr>
            <w:tcW w:type="dxa" w:w="3168"/>
            <w:shd w:val="clear" w:color="auto" w:fill="FFFFFF"/>
            <w:tcMar>
              <w:top w:w="100" w:type="dxa"/>
              <w:bottom w:w="100" w:type="dxa"/>
              <w:left w:w="150" w:type="dxa"/>
              <w:right w:w="150" w:type="dxa"/>
            </w:tcMar>
          </w:tcPr>
          <w:p>
            <w:pPr>
              <w:spacing w:after="80"/>
            </w:pPr>
            <w:r>
              <w:rPr>
                <w:b/>
                <w:sz w:val="19"/>
              </w:rPr>
              <w:t>Predominant Soil Class</w:t>
            </w:r>
          </w:p>
        </w:tc>
        <w:tc>
          <w:tcPr>
            <w:tcW w:type="dxa" w:w="3312"/>
            <w:shd w:val="clear" w:color="auto" w:fill="FFFFFF"/>
            <w:tcMar>
              <w:top w:w="100" w:type="dxa"/>
              <w:bottom w:w="100" w:type="dxa"/>
              <w:left w:w="150" w:type="dxa"/>
              <w:right w:w="150" w:type="dxa"/>
            </w:tcMar>
          </w:tcPr>
          <w:p>
            <w:pPr>
              <w:spacing w:after="80"/>
            </w:pPr>
            <w:r>
              <w:rPr>
                <w:sz w:val="19"/>
              </w:rPr>
              <w:t>Andisols (Lipa Series, heavy volcanic ash parent material)</w:t>
            </w:r>
          </w:p>
        </w:tc>
        <w:tc>
          <w:tcPr>
            <w:tcW w:type="dxa" w:w="2880"/>
            <w:shd w:val="clear" w:color="auto" w:fill="FFFFFF"/>
            <w:tcMar>
              <w:top w:w="100" w:type="dxa"/>
              <w:bottom w:w="100" w:type="dxa"/>
              <w:left w:w="150" w:type="dxa"/>
              <w:right w:w="150" w:type="dxa"/>
            </w:tcMar>
          </w:tcPr>
          <w:p>
            <w:pPr>
              <w:spacing w:after="80"/>
            </w:pPr>
            <w:r>
              <w:rPr>
                <w:sz w:val="19"/>
              </w:rPr>
              <w:t>Mihai et al. (2023); Bureau of Soils Management</w:t>
            </w:r>
          </w:p>
        </w:tc>
      </w:tr>
      <w:tr>
        <w:tc>
          <w:tcPr>
            <w:tcW w:type="dxa" w:w="3168"/>
            <w:shd w:val="clear" w:color="auto" w:fill="FAF8F5"/>
            <w:tcMar>
              <w:top w:w="100" w:type="dxa"/>
              <w:bottom w:w="100" w:type="dxa"/>
              <w:left w:w="150" w:type="dxa"/>
              <w:right w:w="150" w:type="dxa"/>
            </w:tcMar>
          </w:tcPr>
          <w:p>
            <w:pPr>
              <w:spacing w:after="80"/>
            </w:pPr>
            <w:r>
              <w:rPr>
                <w:b/>
                <w:sz w:val="19"/>
              </w:rPr>
              <w:t>Soil pH Range</w:t>
            </w:r>
          </w:p>
        </w:tc>
        <w:tc>
          <w:tcPr>
            <w:tcW w:type="dxa" w:w="3312"/>
            <w:shd w:val="clear" w:color="auto" w:fill="FAF8F5"/>
            <w:tcMar>
              <w:top w:w="100" w:type="dxa"/>
              <w:bottom w:w="100" w:type="dxa"/>
              <w:left w:w="150" w:type="dxa"/>
              <w:right w:w="150" w:type="dxa"/>
            </w:tcMar>
          </w:tcPr>
          <w:p>
            <w:pPr>
              <w:spacing w:after="80"/>
            </w:pPr>
            <w:r>
              <w:rPr>
                <w:sz w:val="19"/>
              </w:rPr>
              <w:t>5.65 – 6.15 (Moderately acidic profile optimum for cation swap)</w:t>
            </w:r>
          </w:p>
        </w:tc>
        <w:tc>
          <w:tcPr>
            <w:tcW w:type="dxa" w:w="2880"/>
            <w:shd w:val="clear" w:color="auto" w:fill="FAF8F5"/>
            <w:tcMar>
              <w:top w:w="100" w:type="dxa"/>
              <w:bottom w:w="100" w:type="dxa"/>
              <w:left w:w="150" w:type="dxa"/>
              <w:right w:w="150" w:type="dxa"/>
            </w:tcMar>
          </w:tcPr>
          <w:p>
            <w:pPr>
              <w:spacing w:after="80"/>
            </w:pPr>
            <w:r>
              <w:rPr>
                <w:sz w:val="19"/>
              </w:rPr>
              <w:t>Garcia et al. (2021); Annex E Soil Lab Logs</w:t>
            </w:r>
          </w:p>
        </w:tc>
      </w:tr>
    </w:tbl>
    <w:p>
      <w:pPr>
        <w:spacing w:before="160"/>
      </w:pPr>
      <w:r>
        <w:rPr>
          <w:b/>
        </w:rPr>
        <w:t>2.2 Geological and Volcanic Soil Character</w:t>
        <w:br/>
      </w:r>
      <w:r>
        <w:t>The defining physical element of Lipa City's terroir is its placement on deep layers of the Lipa Soil Series—a subset of volcanic Andisols originating directly from ancient explosive cycles of the neighboring Taal Volcano framework. These soils possess exceptionally high natural macro-porosity and rapid hydraulic drainage properties. The physical matrix is packed with high active concentrations of total exchangeable Potassium (K), available Phosphorus (P), and vital micronutrients (Boron, Iron, and Zinc), linked to unique cation exchange capacities driven by amorphous clay structures like allophane (Mihai et al., 2023). This mineral configuration allows deep root penetration for the tree, transferring an assertive nutrient payload that accelerates high metabolic concentration in developing coffee embryos.</w:t>
      </w:r>
    </w:p>
    <w:p>
      <w:pPr>
        <w:keepNext/>
        <w:spacing w:before="360" w:after="160"/>
      </w:pPr>
      <w:r>
        <w:rPr>
          <w:b/>
          <w:color w:val="5C3A21"/>
          <w:sz w:val="26"/>
        </w:rPr>
        <w:t>SECTION 3: DESCRIPTION OF THE PRODUCT</w:t>
      </w:r>
    </w:p>
    <w:p>
      <w:r>
        <w:rPr>
          <w:b/>
        </w:rPr>
        <w:t>3.1 Botanical Identity and General Description</w:t>
        <w:br/>
      </w:r>
      <w:r>
        <w:t>Lipa Kapeng Barako consists strictly of 100% pure green, roasted, or ground coffee beans derived exclusively from the botanical species Coffea liberica W.Bull (Family Rubiaceae). The tree architecture is notably mega-phytic, reaching heights up to 20 meters in old un-pruned agroforest locations, showcasing high resistance to drought and local pathogens like coffee leaf rust (Hemileia vastatrix). The beans exhibit an expressive, highly asymmetrical structure where the proximal end finishes in a distinct curve or hook, split by a deeply complex, jagged center furrow.</w:t>
      </w:r>
    </w:p>
    <w:p>
      <w:pPr>
        <w:keepNext/>
        <w:spacing w:before="240" w:after="80"/>
      </w:pPr>
      <w:r>
        <w:rPr>
          <w:b/>
          <w:color w:val="8C6239"/>
          <w:sz w:val="23"/>
        </w:rPr>
        <w:t>Table 3.1: Morphometric Parameters of Lipa Coffea liberica Frameworks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340"/>
        <w:gridCol w:w="2340"/>
        <w:gridCol w:w="2340"/>
        <w:gridCol w:w="2340"/>
      </w:tblGrid>
      <w:tr>
        <w:tc>
          <w:tcPr>
            <w:tcW w:type="dxa" w:w="2592"/>
            <w:shd w:val="clear" w:color="auto" w:fill="5C3A21"/>
            <w:tcMar>
              <w:top w:w="140" w:type="dxa"/>
              <w:bottom w:w="140" w:type="dxa"/>
              <w:left w:w="150" w:type="dxa"/>
              <w:right w:w="150" w:type="dxa"/>
            </w:tcMar>
          </w:tcPr>
          <w:p>
            <w:pPr>
              <w:spacing w:after="80"/>
            </w:pPr>
            <w:r>
              <w:rPr>
                <w:b/>
                <w:color w:val="FFFFFF"/>
                <w:sz w:val="19"/>
              </w:rPr>
              <w:t>Morphological Element</w:t>
            </w:r>
          </w:p>
        </w:tc>
        <w:tc>
          <w:tcPr>
            <w:tcW w:type="dxa" w:w="2304"/>
            <w:shd w:val="clear" w:color="auto" w:fill="5C3A21"/>
            <w:tcMar>
              <w:top w:w="140" w:type="dxa"/>
              <w:bottom w:w="140" w:type="dxa"/>
              <w:left w:w="150" w:type="dxa"/>
              <w:right w:w="150" w:type="dxa"/>
            </w:tcMar>
          </w:tcPr>
          <w:p>
            <w:pPr>
              <w:spacing w:after="80"/>
            </w:pPr>
            <w:r>
              <w:rPr>
                <w:b/>
                <w:color w:val="FFFFFF"/>
                <w:sz w:val="19"/>
              </w:rPr>
              <w:t>Empirical Range (Lipa Core)</w:t>
            </w:r>
          </w:p>
        </w:tc>
        <w:tc>
          <w:tcPr>
            <w:tcW w:type="dxa" w:w="2160"/>
            <w:shd w:val="clear" w:color="auto" w:fill="5C3A21"/>
            <w:tcMar>
              <w:top w:w="140" w:type="dxa"/>
              <w:bottom w:w="140" w:type="dxa"/>
              <w:left w:w="150" w:type="dxa"/>
              <w:right w:w="150" w:type="dxa"/>
            </w:tcMar>
          </w:tcPr>
          <w:p>
            <w:pPr>
              <w:spacing w:after="80"/>
            </w:pPr>
            <w:r>
              <w:rPr>
                <w:b/>
                <w:color w:val="FFFFFF"/>
                <w:sz w:val="19"/>
              </w:rPr>
              <w:t>Statistical Mean ± SD</w:t>
            </w:r>
          </w:p>
        </w:tc>
        <w:tc>
          <w:tcPr>
            <w:tcW w:type="dxa" w:w="2304"/>
            <w:shd w:val="clear" w:color="auto" w:fill="5C3A21"/>
            <w:tcMar>
              <w:top w:w="140" w:type="dxa"/>
              <w:bottom w:w="140" w:type="dxa"/>
              <w:left w:w="150" w:type="dxa"/>
              <w:right w:w="150" w:type="dxa"/>
            </w:tcMar>
          </w:tcPr>
          <w:p>
            <w:pPr>
              <w:spacing w:after="80"/>
            </w:pPr>
            <w:r>
              <w:rPr>
                <w:b/>
                <w:color w:val="FFFFFF"/>
                <w:sz w:val="19"/>
              </w:rPr>
              <w:t>Literature Link Context</w:t>
            </w:r>
          </w:p>
        </w:tc>
      </w:tr>
      <w:tr>
        <w:tc>
          <w:tcPr>
            <w:tcW w:type="dxa" w:w="2592"/>
            <w:shd w:val="clear" w:color="auto" w:fill="FAF8F5"/>
            <w:tcMar>
              <w:top w:w="100" w:type="dxa"/>
              <w:bottom w:w="100" w:type="dxa"/>
              <w:left w:w="150" w:type="dxa"/>
              <w:right w:w="150" w:type="dxa"/>
            </w:tcMar>
          </w:tcPr>
          <w:p>
            <w:pPr>
              <w:spacing w:after="80"/>
            </w:pPr>
            <w:r>
              <w:rPr>
                <w:b/>
                <w:sz w:val="19"/>
              </w:rPr>
              <w:t>Maximum Leaf Length</w:t>
            </w:r>
          </w:p>
        </w:tc>
        <w:tc>
          <w:tcPr>
            <w:tcW w:type="dxa" w:w="2304"/>
            <w:shd w:val="clear" w:color="auto" w:fill="FAF8F5"/>
            <w:tcMar>
              <w:top w:w="100" w:type="dxa"/>
              <w:bottom w:w="100" w:type="dxa"/>
              <w:left w:w="150" w:type="dxa"/>
              <w:right w:w="150" w:type="dxa"/>
            </w:tcMar>
          </w:tcPr>
          <w:p>
            <w:pPr>
              <w:spacing w:after="80"/>
            </w:pPr>
            <w:r>
              <w:rPr>
                <w:sz w:val="19"/>
              </w:rPr>
              <w:t>25.70 – 36.00 cm</w:t>
            </w:r>
          </w:p>
        </w:tc>
        <w:tc>
          <w:tcPr>
            <w:tcW w:type="dxa" w:w="2160"/>
            <w:shd w:val="clear" w:color="auto" w:fill="FAF8F5"/>
            <w:tcMar>
              <w:top w:w="100" w:type="dxa"/>
              <w:bottom w:w="100" w:type="dxa"/>
              <w:left w:w="150" w:type="dxa"/>
              <w:right w:w="150" w:type="dxa"/>
            </w:tcMar>
          </w:tcPr>
          <w:p>
            <w:pPr>
              <w:spacing w:after="80"/>
            </w:pPr>
            <w:r>
              <w:rPr>
                <w:sz w:val="19"/>
              </w:rPr>
              <w:t>30.18 ± 3.19 cm</w:t>
            </w:r>
          </w:p>
        </w:tc>
        <w:tc>
          <w:tcPr>
            <w:tcW w:type="dxa" w:w="2304"/>
            <w:shd w:val="clear" w:color="auto" w:fill="FAF8F5"/>
            <w:tcMar>
              <w:top w:w="100" w:type="dxa"/>
              <w:bottom w:w="100" w:type="dxa"/>
              <w:left w:w="150" w:type="dxa"/>
              <w:right w:w="150" w:type="dxa"/>
            </w:tcMar>
          </w:tcPr>
          <w:p>
            <w:pPr>
              <w:spacing w:after="80"/>
            </w:pPr>
            <w:r>
              <w:rPr>
                <w:sz w:val="19"/>
              </w:rPr>
              <w:t>Balan et al. (2026)</w:t>
            </w:r>
          </w:p>
        </w:tc>
      </w:tr>
      <w:tr>
        <w:tc>
          <w:tcPr>
            <w:tcW w:type="dxa" w:w="2592"/>
            <w:shd w:val="clear" w:color="auto" w:fill="FFFFFF"/>
            <w:tcMar>
              <w:top w:w="100" w:type="dxa"/>
              <w:bottom w:w="100" w:type="dxa"/>
              <w:left w:w="150" w:type="dxa"/>
              <w:right w:w="150" w:type="dxa"/>
            </w:tcMar>
          </w:tcPr>
          <w:p>
            <w:pPr>
              <w:spacing w:after="80"/>
            </w:pPr>
            <w:r>
              <w:rPr>
                <w:b/>
                <w:sz w:val="19"/>
              </w:rPr>
              <w:t>Maximum Leaf Width</w:t>
            </w:r>
          </w:p>
        </w:tc>
        <w:tc>
          <w:tcPr>
            <w:tcW w:type="dxa" w:w="2304"/>
            <w:shd w:val="clear" w:color="auto" w:fill="FFFFFF"/>
            <w:tcMar>
              <w:top w:w="100" w:type="dxa"/>
              <w:bottom w:w="100" w:type="dxa"/>
              <w:left w:w="150" w:type="dxa"/>
              <w:right w:w="150" w:type="dxa"/>
            </w:tcMar>
          </w:tcPr>
          <w:p>
            <w:pPr>
              <w:spacing w:after="80"/>
            </w:pPr>
            <w:r>
              <w:rPr>
                <w:sz w:val="19"/>
              </w:rPr>
              <w:t>9.40 – 17.20 cm</w:t>
            </w:r>
          </w:p>
        </w:tc>
        <w:tc>
          <w:tcPr>
            <w:tcW w:type="dxa" w:w="2160"/>
            <w:shd w:val="clear" w:color="auto" w:fill="FFFFFF"/>
            <w:tcMar>
              <w:top w:w="100" w:type="dxa"/>
              <w:bottom w:w="100" w:type="dxa"/>
              <w:left w:w="150" w:type="dxa"/>
              <w:right w:w="150" w:type="dxa"/>
            </w:tcMar>
          </w:tcPr>
          <w:p>
            <w:pPr>
              <w:spacing w:after="80"/>
            </w:pPr>
            <w:r>
              <w:rPr>
                <w:sz w:val="19"/>
              </w:rPr>
              <w:t>12.61 ± 2.36 cm</w:t>
            </w:r>
          </w:p>
        </w:tc>
        <w:tc>
          <w:tcPr>
            <w:tcW w:type="dxa" w:w="2304"/>
            <w:shd w:val="clear" w:color="auto" w:fill="FFFFFF"/>
            <w:tcMar>
              <w:top w:w="100" w:type="dxa"/>
              <w:bottom w:w="100" w:type="dxa"/>
              <w:left w:w="150" w:type="dxa"/>
              <w:right w:w="150" w:type="dxa"/>
            </w:tcMar>
          </w:tcPr>
          <w:p>
            <w:pPr>
              <w:spacing w:after="80"/>
            </w:pPr>
            <w:r>
              <w:rPr>
                <w:sz w:val="19"/>
              </w:rPr>
              <w:t>Balan et al. (2026)</w:t>
            </w:r>
          </w:p>
        </w:tc>
      </w:tr>
      <w:tr>
        <w:tc>
          <w:tcPr>
            <w:tcW w:type="dxa" w:w="2592"/>
            <w:shd w:val="clear" w:color="auto" w:fill="FAF8F5"/>
            <w:tcMar>
              <w:top w:w="100" w:type="dxa"/>
              <w:bottom w:w="100" w:type="dxa"/>
              <w:left w:w="150" w:type="dxa"/>
              <w:right w:w="150" w:type="dxa"/>
            </w:tcMar>
          </w:tcPr>
          <w:p>
            <w:pPr>
              <w:spacing w:after="80"/>
            </w:pPr>
            <w:r>
              <w:rPr>
                <w:b/>
                <w:sz w:val="19"/>
              </w:rPr>
              <w:t>Cherry Length Metric</w:t>
            </w:r>
          </w:p>
        </w:tc>
        <w:tc>
          <w:tcPr>
            <w:tcW w:type="dxa" w:w="2304"/>
            <w:shd w:val="clear" w:color="auto" w:fill="FAF8F5"/>
            <w:tcMar>
              <w:top w:w="100" w:type="dxa"/>
              <w:bottom w:w="100" w:type="dxa"/>
              <w:left w:w="150" w:type="dxa"/>
              <w:right w:w="150" w:type="dxa"/>
            </w:tcMar>
          </w:tcPr>
          <w:p>
            <w:pPr>
              <w:spacing w:after="80"/>
            </w:pPr>
            <w:r>
              <w:rPr>
                <w:sz w:val="19"/>
              </w:rPr>
              <w:t>16.00 – 27.10 mm</w:t>
            </w:r>
          </w:p>
        </w:tc>
        <w:tc>
          <w:tcPr>
            <w:tcW w:type="dxa" w:w="2160"/>
            <w:shd w:val="clear" w:color="auto" w:fill="FAF8F5"/>
            <w:tcMar>
              <w:top w:w="100" w:type="dxa"/>
              <w:bottom w:w="100" w:type="dxa"/>
              <w:left w:w="150" w:type="dxa"/>
              <w:right w:w="150" w:type="dxa"/>
            </w:tcMar>
          </w:tcPr>
          <w:p>
            <w:pPr>
              <w:spacing w:after="80"/>
            </w:pPr>
            <w:r>
              <w:rPr>
                <w:sz w:val="19"/>
              </w:rPr>
              <w:t>22.23 ± 2.66 mm</w:t>
            </w:r>
          </w:p>
        </w:tc>
        <w:tc>
          <w:tcPr>
            <w:tcW w:type="dxa" w:w="2304"/>
            <w:shd w:val="clear" w:color="auto" w:fill="FAF8F5"/>
            <w:tcMar>
              <w:top w:w="100" w:type="dxa"/>
              <w:bottom w:w="100" w:type="dxa"/>
              <w:left w:w="150" w:type="dxa"/>
              <w:right w:w="150" w:type="dxa"/>
            </w:tcMar>
          </w:tcPr>
          <w:p>
            <w:pPr>
              <w:spacing w:after="80"/>
            </w:pPr>
            <w:r>
              <w:rPr>
                <w:sz w:val="19"/>
              </w:rPr>
              <w:t>Balan et al. (2026)</w:t>
            </w:r>
          </w:p>
        </w:tc>
      </w:tr>
      <w:tr>
        <w:tc>
          <w:tcPr>
            <w:tcW w:type="dxa" w:w="2592"/>
            <w:shd w:val="clear" w:color="auto" w:fill="FFFFFF"/>
            <w:tcMar>
              <w:top w:w="100" w:type="dxa"/>
              <w:bottom w:w="100" w:type="dxa"/>
              <w:left w:w="150" w:type="dxa"/>
              <w:right w:w="150" w:type="dxa"/>
            </w:tcMar>
          </w:tcPr>
          <w:p>
            <w:pPr>
              <w:spacing w:after="80"/>
            </w:pPr>
            <w:r>
              <w:rPr>
                <w:b/>
                <w:sz w:val="19"/>
              </w:rPr>
              <w:t>Cherry Width Metric</w:t>
            </w:r>
          </w:p>
        </w:tc>
        <w:tc>
          <w:tcPr>
            <w:tcW w:type="dxa" w:w="2304"/>
            <w:shd w:val="clear" w:color="auto" w:fill="FFFFFF"/>
            <w:tcMar>
              <w:top w:w="100" w:type="dxa"/>
              <w:bottom w:w="100" w:type="dxa"/>
              <w:left w:w="150" w:type="dxa"/>
              <w:right w:w="150" w:type="dxa"/>
            </w:tcMar>
          </w:tcPr>
          <w:p>
            <w:pPr>
              <w:spacing w:after="80"/>
            </w:pPr>
            <w:r>
              <w:rPr>
                <w:sz w:val="19"/>
              </w:rPr>
              <w:t>15.20 – 23.30 mm</w:t>
            </w:r>
          </w:p>
        </w:tc>
        <w:tc>
          <w:tcPr>
            <w:tcW w:type="dxa" w:w="2160"/>
            <w:shd w:val="clear" w:color="auto" w:fill="FFFFFF"/>
            <w:tcMar>
              <w:top w:w="100" w:type="dxa"/>
              <w:bottom w:w="100" w:type="dxa"/>
              <w:left w:w="150" w:type="dxa"/>
              <w:right w:w="150" w:type="dxa"/>
            </w:tcMar>
          </w:tcPr>
          <w:p>
            <w:pPr>
              <w:spacing w:after="80"/>
            </w:pPr>
            <w:r>
              <w:rPr>
                <w:sz w:val="19"/>
              </w:rPr>
              <w:t>18.95 ± 2.28 mm</w:t>
            </w:r>
          </w:p>
        </w:tc>
        <w:tc>
          <w:tcPr>
            <w:tcW w:type="dxa" w:w="2304"/>
            <w:shd w:val="clear" w:color="auto" w:fill="FFFFFF"/>
            <w:tcMar>
              <w:top w:w="100" w:type="dxa"/>
              <w:bottom w:w="100" w:type="dxa"/>
              <w:left w:w="150" w:type="dxa"/>
              <w:right w:w="150" w:type="dxa"/>
            </w:tcMar>
          </w:tcPr>
          <w:p>
            <w:pPr>
              <w:spacing w:after="80"/>
            </w:pPr>
            <w:r>
              <w:rPr>
                <w:sz w:val="19"/>
              </w:rPr>
              <w:t>Balan et al. (2026)</w:t>
            </w:r>
          </w:p>
        </w:tc>
      </w:tr>
      <w:tr>
        <w:tc>
          <w:tcPr>
            <w:tcW w:type="dxa" w:w="2592"/>
            <w:shd w:val="clear" w:color="auto" w:fill="FAF8F5"/>
            <w:tcMar>
              <w:top w:w="100" w:type="dxa"/>
              <w:bottom w:w="100" w:type="dxa"/>
              <w:left w:w="150" w:type="dxa"/>
              <w:right w:w="150" w:type="dxa"/>
            </w:tcMar>
          </w:tcPr>
          <w:p>
            <w:pPr>
              <w:spacing w:after="80"/>
            </w:pPr>
            <w:r>
              <w:rPr>
                <w:b/>
                <w:sz w:val="19"/>
              </w:rPr>
              <w:t>Pulp Thickness</w:t>
            </w:r>
          </w:p>
        </w:tc>
        <w:tc>
          <w:tcPr>
            <w:tcW w:type="dxa" w:w="2304"/>
            <w:shd w:val="clear" w:color="auto" w:fill="FAF8F5"/>
            <w:tcMar>
              <w:top w:w="100" w:type="dxa"/>
              <w:bottom w:w="100" w:type="dxa"/>
              <w:left w:w="150" w:type="dxa"/>
              <w:right w:w="150" w:type="dxa"/>
            </w:tcMar>
          </w:tcPr>
          <w:p>
            <w:pPr>
              <w:spacing w:after="80"/>
            </w:pPr>
            <w:r>
              <w:rPr>
                <w:sz w:val="19"/>
              </w:rPr>
              <w:t>1.20 – 2.00 mm</w:t>
            </w:r>
          </w:p>
        </w:tc>
        <w:tc>
          <w:tcPr>
            <w:tcW w:type="dxa" w:w="2160"/>
            <w:shd w:val="clear" w:color="auto" w:fill="FAF8F5"/>
            <w:tcMar>
              <w:top w:w="100" w:type="dxa"/>
              <w:bottom w:w="100" w:type="dxa"/>
              <w:left w:w="150" w:type="dxa"/>
              <w:right w:w="150" w:type="dxa"/>
            </w:tcMar>
          </w:tcPr>
          <w:p>
            <w:pPr>
              <w:spacing w:after="80"/>
            </w:pPr>
            <w:r>
              <w:rPr>
                <w:sz w:val="19"/>
              </w:rPr>
              <w:t>1.46 ± 0.20 mm</w:t>
            </w:r>
          </w:p>
        </w:tc>
        <w:tc>
          <w:tcPr>
            <w:tcW w:type="dxa" w:w="2304"/>
            <w:shd w:val="clear" w:color="auto" w:fill="FAF8F5"/>
            <w:tcMar>
              <w:top w:w="100" w:type="dxa"/>
              <w:bottom w:w="100" w:type="dxa"/>
              <w:left w:w="150" w:type="dxa"/>
              <w:right w:w="150" w:type="dxa"/>
            </w:tcMar>
          </w:tcPr>
          <w:p>
            <w:pPr>
              <w:spacing w:after="80"/>
            </w:pPr>
            <w:r>
              <w:rPr>
                <w:sz w:val="19"/>
              </w:rPr>
              <w:t>Balan et al. (2026)</w:t>
            </w:r>
          </w:p>
        </w:tc>
      </w:tr>
      <w:tr>
        <w:tc>
          <w:tcPr>
            <w:tcW w:type="dxa" w:w="2592"/>
            <w:shd w:val="clear" w:color="auto" w:fill="FFFFFF"/>
            <w:tcMar>
              <w:top w:w="100" w:type="dxa"/>
              <w:bottom w:w="100" w:type="dxa"/>
              <w:left w:w="150" w:type="dxa"/>
              <w:right w:w="150" w:type="dxa"/>
            </w:tcMar>
          </w:tcPr>
          <w:p>
            <w:pPr>
              <w:spacing w:after="80"/>
            </w:pPr>
            <w:r>
              <w:rPr>
                <w:b/>
                <w:sz w:val="19"/>
              </w:rPr>
              <w:t>Green Bean Length</w:t>
            </w:r>
          </w:p>
        </w:tc>
        <w:tc>
          <w:tcPr>
            <w:tcW w:type="dxa" w:w="2304"/>
            <w:shd w:val="clear" w:color="auto" w:fill="FFFFFF"/>
            <w:tcMar>
              <w:top w:w="100" w:type="dxa"/>
              <w:bottom w:w="100" w:type="dxa"/>
              <w:left w:w="150" w:type="dxa"/>
              <w:right w:w="150" w:type="dxa"/>
            </w:tcMar>
          </w:tcPr>
          <w:p>
            <w:pPr>
              <w:spacing w:after="80"/>
            </w:pPr>
            <w:r>
              <w:rPr>
                <w:sz w:val="19"/>
              </w:rPr>
              <w:t>11.50 – 18.90 mm</w:t>
            </w:r>
          </w:p>
        </w:tc>
        <w:tc>
          <w:tcPr>
            <w:tcW w:type="dxa" w:w="2160"/>
            <w:shd w:val="clear" w:color="auto" w:fill="FFFFFF"/>
            <w:tcMar>
              <w:top w:w="100" w:type="dxa"/>
              <w:bottom w:w="100" w:type="dxa"/>
              <w:left w:w="150" w:type="dxa"/>
              <w:right w:w="150" w:type="dxa"/>
            </w:tcMar>
          </w:tcPr>
          <w:p>
            <w:pPr>
              <w:spacing w:after="80"/>
            </w:pPr>
            <w:r>
              <w:rPr>
                <w:sz w:val="19"/>
              </w:rPr>
              <w:t>15.98 ± 1.77 mm</w:t>
            </w:r>
          </w:p>
        </w:tc>
        <w:tc>
          <w:tcPr>
            <w:tcW w:type="dxa" w:w="2304"/>
            <w:shd w:val="clear" w:color="auto" w:fill="FFFFFF"/>
            <w:tcMar>
              <w:top w:w="100" w:type="dxa"/>
              <w:bottom w:w="100" w:type="dxa"/>
              <w:left w:w="150" w:type="dxa"/>
              <w:right w:w="150" w:type="dxa"/>
            </w:tcMar>
          </w:tcPr>
          <w:p>
            <w:pPr>
              <w:spacing w:after="80"/>
            </w:pPr>
            <w:r>
              <w:rPr>
                <w:sz w:val="19"/>
              </w:rPr>
              <w:t>Balan et al. (2026)</w:t>
            </w:r>
          </w:p>
        </w:tc>
      </w:tr>
      <w:tr>
        <w:tc>
          <w:tcPr>
            <w:tcW w:type="dxa" w:w="2592"/>
            <w:shd w:val="clear" w:color="auto" w:fill="FAF8F5"/>
            <w:tcMar>
              <w:top w:w="100" w:type="dxa"/>
              <w:bottom w:w="100" w:type="dxa"/>
              <w:left w:w="150" w:type="dxa"/>
              <w:right w:w="150" w:type="dxa"/>
            </w:tcMar>
          </w:tcPr>
          <w:p>
            <w:pPr>
              <w:spacing w:after="80"/>
            </w:pPr>
            <w:r>
              <w:rPr>
                <w:b/>
                <w:sz w:val="19"/>
              </w:rPr>
              <w:t>Green Bean Width</w:t>
            </w:r>
          </w:p>
        </w:tc>
        <w:tc>
          <w:tcPr>
            <w:tcW w:type="dxa" w:w="2304"/>
            <w:shd w:val="clear" w:color="auto" w:fill="FAF8F5"/>
            <w:tcMar>
              <w:top w:w="100" w:type="dxa"/>
              <w:bottom w:w="100" w:type="dxa"/>
              <w:left w:w="150" w:type="dxa"/>
              <w:right w:w="150" w:type="dxa"/>
            </w:tcMar>
          </w:tcPr>
          <w:p>
            <w:pPr>
              <w:spacing w:after="80"/>
            </w:pPr>
            <w:r>
              <w:rPr>
                <w:sz w:val="19"/>
              </w:rPr>
              <w:t>9.10 – 13.70 mm</w:t>
            </w:r>
          </w:p>
        </w:tc>
        <w:tc>
          <w:tcPr>
            <w:tcW w:type="dxa" w:w="2160"/>
            <w:shd w:val="clear" w:color="auto" w:fill="FAF8F5"/>
            <w:tcMar>
              <w:top w:w="100" w:type="dxa"/>
              <w:bottom w:w="100" w:type="dxa"/>
              <w:left w:w="150" w:type="dxa"/>
              <w:right w:w="150" w:type="dxa"/>
            </w:tcMar>
          </w:tcPr>
          <w:p>
            <w:pPr>
              <w:spacing w:after="80"/>
            </w:pPr>
            <w:r>
              <w:rPr>
                <w:sz w:val="19"/>
              </w:rPr>
              <w:t>11.18 ± 1.33 mm</w:t>
            </w:r>
          </w:p>
        </w:tc>
        <w:tc>
          <w:tcPr>
            <w:tcW w:type="dxa" w:w="2304"/>
            <w:shd w:val="clear" w:color="auto" w:fill="FAF8F5"/>
            <w:tcMar>
              <w:top w:w="100" w:type="dxa"/>
              <w:bottom w:w="100" w:type="dxa"/>
              <w:left w:w="150" w:type="dxa"/>
              <w:right w:w="150" w:type="dxa"/>
            </w:tcMar>
          </w:tcPr>
          <w:p>
            <w:pPr>
              <w:spacing w:after="80"/>
            </w:pPr>
            <w:r>
              <w:rPr>
                <w:sz w:val="19"/>
              </w:rPr>
              <w:t>Balan et al. (2026)</w:t>
            </w:r>
          </w:p>
        </w:tc>
      </w:tr>
    </w:tbl>
    <w:p>
      <w:pPr>
        <w:keepNext/>
        <w:spacing w:before="240" w:after="80"/>
      </w:pPr>
      <w:r>
        <w:rPr>
          <w:b/>
          <w:color w:val="8C6239"/>
          <w:sz w:val="23"/>
        </w:rPr>
        <w:t>3.2 Empirical Sensory and Chemical Composition Metrics</w:t>
      </w:r>
    </w:p>
    <w:p>
      <w:r>
        <w:rPr>
          <w:b/>
        </w:rPr>
        <w:t xml:space="preserve">• Official Q-Grader Cupping Score: </w:t>
      </w:r>
      <w:r>
        <w:t>84.75 Points (Classified as Fine Specialty Grade Liberica under SCA Protocols).</w:t>
        <w:br/>
      </w:r>
      <w:r>
        <w:rPr>
          <w:b/>
        </w:rPr>
        <w:t xml:space="preserve">• Sensory Flavor Matrix: </w:t>
      </w:r>
      <w:r>
        <w:t>Pungent ripe jackfruit, dark baker's chocolate, star anise, toasted molasses, muscovado sugar back-notes, with a dense, silky, heavy mouthfeel and an extraordinarily persistent sweet-woody aftertaste.</w:t>
        <w:br/>
      </w:r>
      <w:r>
        <w:rPr>
          <w:b/>
        </w:rPr>
        <w:t xml:space="preserve">• Caffeine Concentration: </w:t>
      </w:r>
      <w:r>
        <w:t>1.18% (Dry-matter basis; naturally lower than robusta, providing clean clarity with rich density).</w:t>
        <w:br/>
      </w:r>
      <w:r>
        <w:rPr>
          <w:b/>
        </w:rPr>
        <w:t xml:space="preserve">• Total Chlorogenic Acids (CGA): </w:t>
      </w:r>
      <w:r>
        <w:t>3.42% (Contributing to a smooth finish with minimized astringency).</w:t>
        <w:br/>
      </w:r>
      <w:r>
        <w:rPr>
          <w:b/>
        </w:rPr>
        <w:t xml:space="preserve">• Total Soluble Solids (TSS): </w:t>
      </w:r>
      <w:r>
        <w:t>5.8° Brix (Reflecting complex mucilage carbohydrate development during ripening).</w:t>
      </w:r>
    </w:p>
    <w:p>
      <w:pPr>
        <w:keepNext/>
        <w:spacing w:before="360" w:after="160"/>
      </w:pPr>
      <w:r>
        <w:rPr>
          <w:b/>
          <w:color w:val="5C3A21"/>
          <w:sz w:val="26"/>
        </w:rPr>
        <w:t>SECTION 4: LINK BETWEEN THE PRODUCT AND ITS GEOGRAPHICAL ORIGIN</w:t>
      </w:r>
    </w:p>
    <w:p>
      <w:r>
        <w:rPr>
          <w:b/>
        </w:rPr>
        <w:t>4.1 Natural Factors Interaction</w:t>
        <w:br/>
      </w:r>
      <w:r>
        <w:t>The unique bold character of Lipa Kapeng Barako is directly derived from a structural confluence of geography and soil kinetics. The high altitude inland plateau of Lipa City provides cool evening ambient air blocks which slows down cellular division inside the ripening fruit. This delayed maturity allows the extensive leaf area (mean 308.74 cm²) to perform prolonged photosynthetic carbohydrate synthesis. These sugars migrate heavily into the expansive bean volume (mean 2,832.91 mm³), fueled by the high-cation soil matrix of volcanic Andisols. Additionally, the intercropped agroforestry system provides natural partial shade from native fruit trees, preventing thermal shock on the fruit clusters.</w:t>
        <w:br/>
        <w:br/>
      </w:r>
      <w:r>
        <w:rPr>
          <w:b/>
        </w:rPr>
        <w:t>4.2 Human and Historical Factors</w:t>
        <w:br/>
      </w:r>
      <w:r>
        <w:t>Lipa City's identity has been fundamentally linked to the coffee trade since 1740 when Spanish Franciscans planted the first seeds. By the 1880s, Lipa became the global sole supplier of premium coffee during the peak of Europe's leaf rust outbreak, generating massive historical wealth. Generations of Lipangueño farmers developed 'Pagpupunla and Pagpili'—a systematic selective picking methodology. Furthermore, the local culinary tradition of using concentrated Barako brew as a savory 'sabaw' (pour-over soup broth) over dried lake fish like tawilis or tapa showcases a unique socio-cultural integration that maintains strict localized processing standards.</w:t>
      </w:r>
    </w:p>
    <w:p>
      <w:pPr>
        <w:keepNext/>
        <w:spacing w:before="360" w:after="160"/>
      </w:pPr>
      <w:r>
        <w:rPr>
          <w:b/>
          <w:color w:val="5C3A21"/>
          <w:sz w:val="26"/>
        </w:rPr>
        <w:t>SECTION 5: PRODUCTION METHODS AND STANDARDS</w:t>
      </w:r>
    </w:p>
    <w:p>
      <w:pPr>
        <w:keepNext/>
        <w:spacing w:before="240" w:after="80"/>
      </w:pPr>
      <w:r>
        <w:rPr>
          <w:b/>
          <w:color w:val="8C6239"/>
          <w:sz w:val="23"/>
        </w:rPr>
        <w:t>5.1 Standard Cultivation Requirements</w:t>
      </w:r>
    </w:p>
    <w:p>
      <w:r>
        <w:rPr>
          <w:b/>
        </w:rPr>
        <w:t xml:space="preserve">• Planting Density Matrix: </w:t>
      </w:r>
      <w:r>
        <w:t>Strictly 1,111 trees per hectare configured in a 3.0m x 3.0m square grid layout. Intercropping requires a minimum of 20% shade coverage provided by alternating rows of Gliricidia sepium, Artocarpus heterophyllus (Jackfruit), or Cocos nucifera.</w:t>
        <w:br/>
      </w:r>
      <w:r>
        <w:rPr>
          <w:b/>
        </w:rPr>
        <w:t xml:space="preserve">• Nutrient Management: </w:t>
      </w:r>
      <w:r>
        <w:t>Soil must be augmented using aged organic compost or decomposed coffee cherry pulp at 5 kg/tree/year, keeping soil pH strictly between 5.5 and 6.5.</w:t>
        <w:br/>
      </w:r>
      <w:r>
        <w:rPr>
          <w:b/>
        </w:rPr>
        <w:t xml:space="preserve">• Harvest Windows and Rules: </w:t>
      </w:r>
      <w:r>
        <w:t>Harvest is strictly limited to the peak season window from November 15 to February 28. Strip-harvesting is totally banned. Farmers must selectively hand-pick only fully mature deep-red cherries showing a minimum of 90% pigment saturation across the cluster.</w:t>
      </w:r>
    </w:p>
    <w:p>
      <w:pPr>
        <w:keepNext/>
        <w:spacing w:before="240" w:after="80"/>
      </w:pPr>
      <w:r>
        <w:rPr>
          <w:b/>
          <w:color w:val="8C6239"/>
          <w:sz w:val="23"/>
        </w:rPr>
        <w:t>5.2 Post-Harvest Processing Specifications</w:t>
      </w:r>
    </w:p>
    <w:p>
      <w:r>
        <w:rPr>
          <w:b/>
        </w:rPr>
        <w:t xml:space="preserve">• Traditional Wet Method (Standard): </w:t>
      </w:r>
      <w:r>
        <w:t>Cherries are float-sorted within 4 hours of picking. Mechanical or manual pulping is followed by controlled dry fermentation for 18 to 24 hours to break down complex mucilage. Beans must be washed thoroughly with potable spring or deep-well water.</w:t>
        <w:br/>
      </w:r>
      <w:r>
        <w:rPr>
          <w:b/>
        </w:rPr>
        <w:t xml:space="preserve">• Solar Drying Regime: </w:t>
      </w:r>
      <w:r>
        <w:t>Beans must be spread on raised bamboo or mesh drying beds. Ground-drying on bare concrete is strictly prohibited. The drying process proceeds for 10–14 days until bean internal moisture stabilizes precisely at 11.0% to 12.0%.</w:t>
        <w:br/>
      </w:r>
      <w:r>
        <w:rPr>
          <w:b/>
        </w:rPr>
        <w:t xml:space="preserve">• Master Roasting Curves: </w:t>
      </w:r>
      <w:r>
        <w:t>Roasting must occur inside the delineated city boundaries. The verified master curve dictates a charge temperature of 195°C, a slow medium-dark roast profile spanning exactly 14 minutes and 22 seconds, with a Development Time Ratio (DTR) of 18.5% to optimize deep essential oil migration without structural charring.</w:t>
      </w:r>
    </w:p>
    <w:p>
      <w:pPr>
        <w:keepNext/>
        <w:spacing w:before="360" w:after="160"/>
      </w:pPr>
      <w:r>
        <w:rPr>
          <w:b/>
          <w:color w:val="5C3A21"/>
          <w:sz w:val="26"/>
        </w:rPr>
        <w:t>SECTION 6: LABELING, PACKAGING, AND TRACEABILITY CONTROL</w:t>
      </w:r>
    </w:p>
    <w:p>
      <w:r>
        <w:rPr>
          <w:b/>
        </w:rPr>
        <w:t>6.1 Traceability Matrix</w:t>
        <w:br/>
      </w:r>
      <w:r>
        <w:t>Every single package distributed under the GI registration must display a structured alphanumeric tracing code formatted as: LIPA-BARAKO-[FARM_ID]-[LOT_YEAR]. All lots must cross-reference back to the LCCGMC Central Ledger tracking farm coordinates, moisture curves, and Q-grader evaluation dates.</w:t>
        <w:br/>
        <w:br/>
      </w:r>
      <w:r>
        <w:rPr>
          <w:b/>
        </w:rPr>
        <w:t>6.2 Packaging Architecture</w:t>
        <w:br/>
      </w:r>
      <w:r>
        <w:t>Green Coffee Beans (GCB) must be stored and shipped in high-density multi-layer hermetic bags (e.g., GrainPro) wrapped in premium 300 GSM food-grade jute sacks. Roasted or ground variants must be vacuum-sealed immediately inside multi-layer aluminum foil pouches equipped with a integrated one-way degassing valve. The official embossed IPOPHL GI Protection Seal must be placed across the primary front closure panel.</w:t>
      </w:r>
    </w:p>
    <w:p>
      <w:pPr>
        <w:keepNext/>
        <w:spacing w:before="360" w:after="160"/>
      </w:pPr>
      <w:r>
        <w:rPr>
          <w:b/>
          <w:color w:val="5C3A21"/>
          <w:sz w:val="26"/>
        </w:rPr>
        <w:t>SECTION 7: OFFICIAL ANNEX DATA CHECKLIST FOR IPOPHL SUBMISSION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120"/>
        <w:gridCol w:w="3120"/>
        <w:gridCol w:w="3120"/>
      </w:tblGrid>
      <w:tr>
        <w:tc>
          <w:tcPr>
            <w:tcW w:type="dxa" w:w="1440"/>
            <w:shd w:val="clear" w:color="auto" w:fill="4A5D4E"/>
            <w:tcMar>
              <w:top w:w="140" w:type="dxa"/>
              <w:bottom w:w="140" w:type="dxa"/>
              <w:left w:w="150" w:type="dxa"/>
              <w:right w:w="150" w:type="dxa"/>
            </w:tcMar>
          </w:tcPr>
          <w:p>
            <w:pPr>
              <w:spacing w:after="80"/>
            </w:pPr>
            <w:r>
              <w:rPr>
                <w:b/>
                <w:color w:val="FFFFFF"/>
                <w:sz w:val="19"/>
              </w:rPr>
              <w:t>Annex ID</w:t>
            </w:r>
          </w:p>
        </w:tc>
        <w:tc>
          <w:tcPr>
            <w:tcW w:type="dxa" w:w="3600"/>
            <w:shd w:val="clear" w:color="auto" w:fill="4A5D4E"/>
            <w:tcMar>
              <w:top w:w="140" w:type="dxa"/>
              <w:bottom w:w="140" w:type="dxa"/>
              <w:left w:w="150" w:type="dxa"/>
              <w:right w:w="150" w:type="dxa"/>
            </w:tcMar>
          </w:tcPr>
          <w:p>
            <w:pPr>
              <w:spacing w:after="80"/>
            </w:pPr>
            <w:r>
              <w:rPr>
                <w:b/>
                <w:color w:val="FFFFFF"/>
                <w:sz w:val="19"/>
              </w:rPr>
              <w:t>Required Documentation File</w:t>
            </w:r>
          </w:p>
        </w:tc>
        <w:tc>
          <w:tcPr>
            <w:tcW w:type="dxa" w:w="4320"/>
            <w:shd w:val="clear" w:color="auto" w:fill="4A5D4E"/>
            <w:tcMar>
              <w:top w:w="140" w:type="dxa"/>
              <w:bottom w:w="140" w:type="dxa"/>
              <w:left w:w="150" w:type="dxa"/>
              <w:right w:w="150" w:type="dxa"/>
            </w:tcMar>
          </w:tcPr>
          <w:p>
            <w:pPr>
              <w:spacing w:after="80"/>
            </w:pPr>
            <w:r>
              <w:rPr>
                <w:b/>
                <w:color w:val="FFFFFF"/>
                <w:sz w:val="19"/>
              </w:rPr>
              <w:t>Current Verification Status / Content Mapping</w:t>
            </w:r>
          </w:p>
        </w:tc>
      </w:tr>
      <w:tr>
        <w:tc>
          <w:tcPr>
            <w:tcW w:type="dxa" w:w="1440"/>
            <w:shd w:val="clear" w:color="auto" w:fill="FAF8F5"/>
            <w:tcMar>
              <w:top w:w="100" w:type="dxa"/>
              <w:bottom w:w="100" w:type="dxa"/>
              <w:left w:w="150" w:type="dxa"/>
              <w:right w:w="150" w:type="dxa"/>
            </w:tcMar>
          </w:tcPr>
          <w:p>
            <w:pPr>
              <w:spacing w:after="80"/>
            </w:pPr>
            <w:r>
              <w:rPr>
                <w:b/>
                <w:sz w:val="19"/>
              </w:rPr>
              <w:t>Annex A</w:t>
            </w:r>
          </w:p>
        </w:tc>
        <w:tc>
          <w:tcPr>
            <w:tcW w:type="dxa" w:w="3600"/>
            <w:shd w:val="clear" w:color="auto" w:fill="FAF8F5"/>
            <w:tcMar>
              <w:top w:w="100" w:type="dxa"/>
              <w:bottom w:w="100" w:type="dxa"/>
              <w:left w:w="150" w:type="dxa"/>
              <w:right w:w="150" w:type="dxa"/>
            </w:tcMar>
          </w:tcPr>
          <w:p>
            <w:pPr>
              <w:spacing w:after="80"/>
            </w:pPr>
            <w:r>
              <w:rPr>
                <w:sz w:val="19"/>
              </w:rPr>
              <w:t>Delineated GI Coordinates Map</w:t>
            </w:r>
          </w:p>
        </w:tc>
        <w:tc>
          <w:tcPr>
            <w:tcW w:type="dxa" w:w="4320"/>
            <w:shd w:val="clear" w:color="auto" w:fill="FAF8F5"/>
            <w:tcMar>
              <w:top w:w="100" w:type="dxa"/>
              <w:bottom w:w="100" w:type="dxa"/>
              <w:left w:w="150" w:type="dxa"/>
              <w:right w:w="150" w:type="dxa"/>
            </w:tcMar>
          </w:tcPr>
          <w:p>
            <w:pPr>
              <w:spacing w:after="80"/>
            </w:pPr>
            <w:r>
              <w:rPr>
                <w:sz w:val="19"/>
              </w:rPr>
              <w:t>COMPLETED – GIS shapefiles mapping Lipa boundaries attached.</w:t>
            </w:r>
          </w:p>
        </w:tc>
      </w:tr>
      <w:tr>
        <w:tc>
          <w:tcPr>
            <w:tcW w:type="dxa" w:w="1440"/>
            <w:shd w:val="clear" w:color="auto" w:fill="FFFFFF"/>
            <w:tcMar>
              <w:top w:w="100" w:type="dxa"/>
              <w:bottom w:w="100" w:type="dxa"/>
              <w:left w:w="150" w:type="dxa"/>
              <w:right w:w="150" w:type="dxa"/>
            </w:tcMar>
          </w:tcPr>
          <w:p>
            <w:pPr>
              <w:spacing w:after="80"/>
            </w:pPr>
            <w:r>
              <w:rPr>
                <w:b/>
                <w:sz w:val="19"/>
              </w:rPr>
              <w:t>Annex B</w:t>
            </w:r>
          </w:p>
        </w:tc>
        <w:tc>
          <w:tcPr>
            <w:tcW w:type="dxa" w:w="3600"/>
            <w:shd w:val="clear" w:color="auto" w:fill="FFFFFF"/>
            <w:tcMar>
              <w:top w:w="100" w:type="dxa"/>
              <w:bottom w:w="100" w:type="dxa"/>
              <w:left w:w="150" w:type="dxa"/>
              <w:right w:w="150" w:type="dxa"/>
            </w:tcMar>
          </w:tcPr>
          <w:p>
            <w:pPr>
              <w:spacing w:after="80"/>
            </w:pPr>
            <w:r>
              <w:rPr>
                <w:sz w:val="19"/>
              </w:rPr>
              <w:t>LGU Historical Certification</w:t>
            </w:r>
          </w:p>
        </w:tc>
        <w:tc>
          <w:tcPr>
            <w:tcW w:type="dxa" w:w="4320"/>
            <w:shd w:val="clear" w:color="auto" w:fill="FFFFFF"/>
            <w:tcMar>
              <w:top w:w="100" w:type="dxa"/>
              <w:bottom w:w="100" w:type="dxa"/>
              <w:left w:w="150" w:type="dxa"/>
              <w:right w:w="150" w:type="dxa"/>
            </w:tcMar>
          </w:tcPr>
          <w:p>
            <w:pPr>
              <w:spacing w:after="80"/>
            </w:pPr>
            <w:r>
              <w:rPr>
                <w:sz w:val="19"/>
              </w:rPr>
              <w:t>VERIFIED – Certificate issued by Lipa City Office of the Agriculturist.</w:t>
            </w:r>
          </w:p>
        </w:tc>
      </w:tr>
      <w:tr>
        <w:tc>
          <w:tcPr>
            <w:tcW w:type="dxa" w:w="1440"/>
            <w:shd w:val="clear" w:color="auto" w:fill="FAF8F5"/>
            <w:tcMar>
              <w:top w:w="100" w:type="dxa"/>
              <w:bottom w:w="100" w:type="dxa"/>
              <w:left w:w="150" w:type="dxa"/>
              <w:right w:w="150" w:type="dxa"/>
            </w:tcMar>
          </w:tcPr>
          <w:p>
            <w:pPr>
              <w:spacing w:after="80"/>
            </w:pPr>
            <w:r>
              <w:rPr>
                <w:b/>
                <w:sz w:val="19"/>
              </w:rPr>
              <w:t>Annex D</w:t>
            </w:r>
          </w:p>
        </w:tc>
        <w:tc>
          <w:tcPr>
            <w:tcW w:type="dxa" w:w="3600"/>
            <w:shd w:val="clear" w:color="auto" w:fill="FAF8F5"/>
            <w:tcMar>
              <w:top w:w="100" w:type="dxa"/>
              <w:bottom w:w="100" w:type="dxa"/>
              <w:left w:w="150" w:type="dxa"/>
              <w:right w:w="150" w:type="dxa"/>
            </w:tcMar>
          </w:tcPr>
          <w:p>
            <w:pPr>
              <w:spacing w:after="80"/>
            </w:pPr>
            <w:r>
              <w:rPr>
                <w:sz w:val="19"/>
              </w:rPr>
              <w:t>Producer Traceability Registry</w:t>
            </w:r>
          </w:p>
        </w:tc>
        <w:tc>
          <w:tcPr>
            <w:tcW w:type="dxa" w:w="4320"/>
            <w:shd w:val="clear" w:color="auto" w:fill="FAF8F5"/>
            <w:tcMar>
              <w:top w:w="100" w:type="dxa"/>
              <w:bottom w:w="100" w:type="dxa"/>
              <w:left w:w="150" w:type="dxa"/>
              <w:right w:w="150" w:type="dxa"/>
            </w:tcMar>
          </w:tcPr>
          <w:p>
            <w:pPr>
              <w:spacing w:after="80"/>
            </w:pPr>
            <w:r>
              <w:rPr>
                <w:sz w:val="19"/>
              </w:rPr>
              <w:t>COMPLETED – 42 active estate farm ledgers registered under LCCGMC.</w:t>
            </w:r>
          </w:p>
        </w:tc>
      </w:tr>
      <w:tr>
        <w:tc>
          <w:tcPr>
            <w:tcW w:type="dxa" w:w="1440"/>
            <w:shd w:val="clear" w:color="auto" w:fill="FFFFFF"/>
            <w:tcMar>
              <w:top w:w="100" w:type="dxa"/>
              <w:bottom w:w="100" w:type="dxa"/>
              <w:left w:w="150" w:type="dxa"/>
              <w:right w:w="150" w:type="dxa"/>
            </w:tcMar>
          </w:tcPr>
          <w:p>
            <w:pPr>
              <w:spacing w:after="80"/>
            </w:pPr>
            <w:r>
              <w:rPr>
                <w:b/>
                <w:sz w:val="19"/>
              </w:rPr>
              <w:t>Annex E</w:t>
            </w:r>
          </w:p>
        </w:tc>
        <w:tc>
          <w:tcPr>
            <w:tcW w:type="dxa" w:w="3600"/>
            <w:shd w:val="clear" w:color="auto" w:fill="FFFFFF"/>
            <w:tcMar>
              <w:top w:w="100" w:type="dxa"/>
              <w:bottom w:w="100" w:type="dxa"/>
              <w:left w:w="150" w:type="dxa"/>
              <w:right w:w="150" w:type="dxa"/>
            </w:tcMar>
          </w:tcPr>
          <w:p>
            <w:pPr>
              <w:spacing w:after="80"/>
            </w:pPr>
            <w:r>
              <w:rPr>
                <w:sz w:val="19"/>
              </w:rPr>
              <w:t>Laboratory Soil Profile Report</w:t>
            </w:r>
          </w:p>
        </w:tc>
        <w:tc>
          <w:tcPr>
            <w:tcW w:type="dxa" w:w="4320"/>
            <w:shd w:val="clear" w:color="auto" w:fill="FFFFFF"/>
            <w:tcMar>
              <w:top w:w="100" w:type="dxa"/>
              <w:bottom w:w="100" w:type="dxa"/>
              <w:left w:w="150" w:type="dxa"/>
              <w:right w:w="150" w:type="dxa"/>
            </w:tcMar>
          </w:tcPr>
          <w:p>
            <w:pPr>
              <w:spacing w:after="80"/>
            </w:pPr>
            <w:r>
              <w:rPr>
                <w:sz w:val="19"/>
              </w:rPr>
              <w:t>COMPLETED – Certified analysis from Bureau of Soils attached (pH 5.85).</w:t>
            </w:r>
          </w:p>
        </w:tc>
      </w:tr>
      <w:tr>
        <w:tc>
          <w:tcPr>
            <w:tcW w:type="dxa" w:w="1440"/>
            <w:shd w:val="clear" w:color="auto" w:fill="FAF8F5"/>
            <w:tcMar>
              <w:top w:w="100" w:type="dxa"/>
              <w:bottom w:w="100" w:type="dxa"/>
              <w:left w:w="150" w:type="dxa"/>
              <w:right w:w="150" w:type="dxa"/>
            </w:tcMar>
          </w:tcPr>
          <w:p>
            <w:pPr>
              <w:spacing w:after="80"/>
            </w:pPr>
            <w:r>
              <w:rPr>
                <w:b/>
                <w:sz w:val="19"/>
              </w:rPr>
              <w:t>Annex F</w:t>
            </w:r>
          </w:p>
        </w:tc>
        <w:tc>
          <w:tcPr>
            <w:tcW w:type="dxa" w:w="3600"/>
            <w:shd w:val="clear" w:color="auto" w:fill="FAF8F5"/>
            <w:tcMar>
              <w:top w:w="100" w:type="dxa"/>
              <w:bottom w:w="100" w:type="dxa"/>
              <w:left w:w="150" w:type="dxa"/>
              <w:right w:w="150" w:type="dxa"/>
            </w:tcMar>
          </w:tcPr>
          <w:p>
            <w:pPr>
              <w:spacing w:after="80"/>
            </w:pPr>
            <w:r>
              <w:rPr>
                <w:sz w:val="19"/>
              </w:rPr>
              <w:t>Official Cupping Evaluation Scorecard</w:t>
            </w:r>
          </w:p>
        </w:tc>
        <w:tc>
          <w:tcPr>
            <w:tcW w:type="dxa" w:w="4320"/>
            <w:shd w:val="clear" w:color="auto" w:fill="FAF8F5"/>
            <w:tcMar>
              <w:top w:w="100" w:type="dxa"/>
              <w:bottom w:w="100" w:type="dxa"/>
              <w:left w:w="150" w:type="dxa"/>
              <w:right w:w="150" w:type="dxa"/>
            </w:tcMar>
          </w:tcPr>
          <w:p>
            <w:pPr>
              <w:spacing w:after="80"/>
            </w:pPr>
            <w:r>
              <w:rPr>
                <w:sz w:val="19"/>
              </w:rPr>
              <w:t>PASSED – Fine Liberica SCA Scorecard verified at 84.75 points.</w:t>
            </w:r>
          </w:p>
        </w:tc>
      </w:tr>
      <w:tr>
        <w:tc>
          <w:tcPr>
            <w:tcW w:type="dxa" w:w="1440"/>
            <w:shd w:val="clear" w:color="auto" w:fill="FFFFFF"/>
            <w:tcMar>
              <w:top w:w="100" w:type="dxa"/>
              <w:bottom w:w="100" w:type="dxa"/>
              <w:left w:w="150" w:type="dxa"/>
              <w:right w:w="150" w:type="dxa"/>
            </w:tcMar>
          </w:tcPr>
          <w:p>
            <w:pPr>
              <w:spacing w:after="80"/>
            </w:pPr>
            <w:r>
              <w:rPr>
                <w:b/>
                <w:sz w:val="19"/>
              </w:rPr>
              <w:t>Annex I</w:t>
            </w:r>
          </w:p>
        </w:tc>
        <w:tc>
          <w:tcPr>
            <w:tcW w:type="dxa" w:w="3600"/>
            <w:shd w:val="clear" w:color="auto" w:fill="FFFFFF"/>
            <w:tcMar>
              <w:top w:w="100" w:type="dxa"/>
              <w:bottom w:w="100" w:type="dxa"/>
              <w:left w:w="150" w:type="dxa"/>
              <w:right w:w="150" w:type="dxa"/>
            </w:tcMar>
          </w:tcPr>
          <w:p>
            <w:pPr>
              <w:spacing w:after="80"/>
            </w:pPr>
            <w:r>
              <w:rPr>
                <w:sz w:val="19"/>
              </w:rPr>
              <w:t>LGU Enabling Ordinance</w:t>
            </w:r>
          </w:p>
        </w:tc>
        <w:tc>
          <w:tcPr>
            <w:tcW w:type="dxa" w:w="4320"/>
            <w:shd w:val="clear" w:color="auto" w:fill="FFFFFF"/>
            <w:tcMar>
              <w:top w:w="100" w:type="dxa"/>
              <w:bottom w:w="100" w:type="dxa"/>
              <w:left w:w="150" w:type="dxa"/>
              <w:right w:w="150" w:type="dxa"/>
            </w:tcMar>
          </w:tcPr>
          <w:p>
            <w:pPr>
              <w:spacing w:after="80"/>
            </w:pPr>
            <w:r>
              <w:rPr>
                <w:sz w:val="19"/>
              </w:rPr>
              <w:t>PASSED – Lipa City Sanggunian Resolution No. 142-2026 fully enacted.</w:t>
            </w:r>
          </w:p>
        </w:tc>
      </w:tr>
    </w:tbl>
    <w:p>
      <w:pPr>
        <w:spacing w:before="600"/>
      </w:pPr>
      <w:r>
        <w:t>Submitted in full compliance with IPOPHL Memorandum Circular No. 2022-022.</w:t>
        <w:br/>
        <w:br/>
        <w:t>_______________________________________</w:t>
        <w:br/>
        <w:t>Engr. Diosdado K. Silva</w:t>
        <w:br/>
        <w:t>Authorized Representative / Chairperson</w:t>
        <w:br/>
        <w:t>Lipa City Coffee Growers Marketing Cooperative (LCCGMC)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