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黑体" w:cs="黑体"/>
          <w:b/>
          <w:sz w:val="44"/>
        </w:rPr>
        <w:t>上海海洋大学</w:t>
        <w:br/>
        <w:t>本科毕业论文（设计）</w:t>
      </w:r>
    </w:p>
    <w:p/>
    <w:p>
      <w:pPr>
        <w:jc w:val="center"/>
      </w:pPr>
      <w:r>
        <w:rPr>
          <w:rFonts w:ascii="Times New Roman" w:hAnsi="Times New Roman" w:eastAsia="黑体" w:cs="黑体"/>
          <w:b/>
          <w:sz w:val="32"/>
        </w:rPr>
        <w:t>题目：基于深度学习的学生成绩单</w:t>
        <w:br/>
        <w:t>自动识别系统设计与实现</w:t>
      </w:r>
    </w:p>
    <w:p/>
    <w:p/>
    <w:p/>
    <w:p/>
    <w:tbl>
      <w:tblPr>
        <w:tblW w:type="auto" w:w="0"/>
        <w:tblLayout w:type="autofit"/>
        <w:tblLook w:firstColumn="1" w:firstRow="1" w:lastColumn="0" w:lastRow="0" w:noHBand="0" w:noVBand="1" w:val="04A0"/>
      </w:tblPr>
      <w:tblGrid>
        <w:gridCol w:w="4500"/>
        <w:gridCol w:w="4500"/>
      </w:tblGrid>
      <w:tr>
        <w:tc>
          <w:tcPr>
            <w:tcW w:type="dxa" w:w="4500"/>
          </w:tcPr>
          <w:p>
            <w:pPr>
              <w:jc w:val="center"/>
            </w:pPr>
            <w:r>
              <w:rPr>
                <w:rFonts w:ascii="Times New Roman" w:hAnsi="Times New Roman" w:eastAsia="宋体" w:cs="宋体"/>
                <w:sz w:val="28"/>
              </w:rPr>
              <w:t>学　　院</w:t>
            </w:r>
          </w:p>
        </w:tc>
        <w:tc>
          <w:tcPr>
            <w:tcW w:type="dxa" w:w="4500"/>
          </w:tcPr>
          <w:p>
            <w:pPr>
              <w:jc w:val="center"/>
            </w:pPr>
            <w:r>
              <w:rPr>
                <w:rFonts w:ascii="Times New Roman" w:hAnsi="Times New Roman" w:eastAsia="宋体" w:cs="宋体"/>
                <w:sz w:val="28"/>
              </w:rPr>
              <w:t>信息学院</w:t>
            </w:r>
          </w:p>
        </w:tc>
      </w:tr>
      <w:tr>
        <w:tc>
          <w:tcPr>
            <w:tcW w:type="dxa" w:w="4500"/>
          </w:tcPr>
          <w:p>
            <w:pPr>
              <w:jc w:val="center"/>
            </w:pPr>
            <w:r>
              <w:rPr>
                <w:rFonts w:ascii="Times New Roman" w:hAnsi="Times New Roman" w:eastAsia="宋体" w:cs="宋体"/>
                <w:sz w:val="28"/>
              </w:rPr>
              <w:t>专　　业</w:t>
            </w:r>
          </w:p>
        </w:tc>
        <w:tc>
          <w:tcPr>
            <w:tcW w:type="dxa" w:w="4500"/>
          </w:tcPr>
          <w:p>
            <w:pPr>
              <w:jc w:val="center"/>
            </w:pPr>
            <w:r>
              <w:rPr>
                <w:rFonts w:ascii="Times New Roman" w:hAnsi="Times New Roman" w:eastAsia="宋体" w:cs="宋体"/>
                <w:sz w:val="28"/>
              </w:rPr>
              <w:t>计算机科学与技术</w:t>
            </w:r>
          </w:p>
        </w:tc>
      </w:tr>
      <w:tr>
        <w:tc>
          <w:tcPr>
            <w:tcW w:type="dxa" w:w="4500"/>
          </w:tcPr>
          <w:p>
            <w:pPr>
              <w:jc w:val="center"/>
            </w:pPr>
            <w:r>
              <w:rPr>
                <w:rFonts w:ascii="Times New Roman" w:hAnsi="Times New Roman" w:eastAsia="宋体" w:cs="宋体"/>
                <w:sz w:val="28"/>
              </w:rPr>
              <w:t>学生姓名</w:t>
            </w:r>
          </w:p>
        </w:tc>
        <w:tc>
          <w:tcPr>
            <w:tcW w:type="dxa" w:w="4500"/>
          </w:tcPr>
          <w:p>
            <w:pPr>
              <w:jc w:val="center"/>
            </w:pPr>
            <w:r>
              <w:rPr>
                <w:rFonts w:ascii="Times New Roman" w:hAnsi="Times New Roman" w:eastAsia="宋体" w:cs="宋体"/>
                <w:sz w:val="28"/>
              </w:rPr>
              <w:t>林子榆</w:t>
            </w:r>
          </w:p>
        </w:tc>
      </w:tr>
      <w:tr>
        <w:tc>
          <w:tcPr>
            <w:tcW w:type="dxa" w:w="4500"/>
          </w:tcPr>
          <w:p>
            <w:pPr>
              <w:jc w:val="center"/>
            </w:pPr>
            <w:r>
              <w:rPr>
                <w:rFonts w:ascii="Times New Roman" w:hAnsi="Times New Roman" w:eastAsia="宋体" w:cs="宋体"/>
                <w:sz w:val="28"/>
              </w:rPr>
              <w:t>学　　号</w:t>
            </w:r>
          </w:p>
        </w:tc>
        <w:tc>
          <w:tcPr>
            <w:tcW w:type="dxa" w:w="4500"/>
          </w:tcPr>
          <w:p>
            <w:pPr>
              <w:jc w:val="center"/>
            </w:pPr>
            <w:r>
              <w:rPr>
                <w:rFonts w:ascii="Times New Roman" w:hAnsi="Times New Roman" w:eastAsia="宋体" w:cs="宋体"/>
                <w:sz w:val="28"/>
              </w:rPr>
              <w:t>2252733</w:t>
            </w:r>
          </w:p>
        </w:tc>
      </w:tr>
      <w:tr>
        <w:tc>
          <w:tcPr>
            <w:tcW w:type="dxa" w:w="4500"/>
          </w:tcPr>
          <w:p>
            <w:pPr>
              <w:jc w:val="center"/>
            </w:pPr>
            <w:r>
              <w:rPr>
                <w:rFonts w:ascii="Times New Roman" w:hAnsi="Times New Roman" w:eastAsia="宋体" w:cs="宋体"/>
                <w:sz w:val="28"/>
              </w:rPr>
              <w:t>指导教师</w:t>
            </w:r>
          </w:p>
        </w:tc>
        <w:tc>
          <w:tcPr>
            <w:tcW w:type="dxa" w:w="4500"/>
          </w:tcPr>
          <w:p>
            <w:pPr>
              <w:jc w:val="center"/>
            </w:pPr>
            <w:r>
              <w:rPr>
                <w:rFonts w:ascii="Times New Roman" w:hAnsi="Times New Roman" w:eastAsia="宋体" w:cs="宋体"/>
                <w:sz w:val="28"/>
              </w:rPr>
              <w:t>（请填写指导教师姓名）</w:t>
            </w:r>
          </w:p>
        </w:tc>
      </w:tr>
      <w:tr>
        <w:tc>
          <w:tcPr>
            <w:tcW w:type="dxa" w:w="4500"/>
          </w:tcPr>
          <w:p>
            <w:pPr>
              <w:jc w:val="center"/>
            </w:pPr>
            <w:r>
              <w:rPr>
                <w:rFonts w:ascii="Times New Roman" w:hAnsi="Times New Roman" w:eastAsia="宋体" w:cs="宋体"/>
                <w:sz w:val="28"/>
              </w:rPr>
              <w:t>完成日期</w:t>
            </w:r>
          </w:p>
        </w:tc>
        <w:tc>
          <w:tcPr>
            <w:tcW w:type="dxa" w:w="4500"/>
          </w:tcPr>
          <w:p>
            <w:pPr>
              <w:jc w:val="center"/>
            </w:pPr>
            <w:r>
              <w:rPr>
                <w:rFonts w:ascii="Times New Roman" w:hAnsi="Times New Roman" w:eastAsia="宋体" w:cs="宋体"/>
                <w:sz w:val="28"/>
              </w:rPr>
              <w:t>2026年 5 月</w:t>
            </w:r>
          </w:p>
        </w:tc>
      </w:tr>
    </w:tbl>
    <w:p>
      <w:r>
        <w:br w:type="page"/>
      </w:r>
    </w:p>
    <w:p/>
    <w:p>
      <w:pPr>
        <w:jc w:val="center"/>
      </w:pPr>
      <w:r>
        <w:rPr>
          <w:rFonts w:ascii="Times New Roman" w:hAnsi="Times New Roman" w:eastAsia="黑体" w:cs="黑体"/>
          <w:b/>
          <w:sz w:val="32"/>
        </w:rPr>
        <w:t>上海海洋大学</w:t>
        <w:br/>
        <w:t>本科毕业论文（设计）学术诚信声明</w:t>
      </w:r>
    </w:p>
    <w:p>
      <w:pPr>
        <w:spacing w:line="360" w:lineRule="auto" w:after="120"/>
        <w:ind w:firstLine="480"/>
      </w:pPr>
      <w:r>
        <w:rPr>
          <w:rFonts w:ascii="Times New Roman" w:hAnsi="Times New Roman" w:eastAsia="宋体" w:cs="宋体"/>
          <w:sz w:val="24"/>
        </w:rPr>
        <w:t>本人郑重声明：所呈交的毕业论文（设计），是在导师的指导下独立进行研究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
      <w:pPr>
        <w:spacing w:line="360" w:lineRule="auto" w:after="120"/>
      </w:pPr>
      <w:r>
        <w:rPr>
          <w:rFonts w:ascii="Times New Roman" w:hAnsi="Times New Roman" w:eastAsia="宋体" w:cs="宋体"/>
          <w:sz w:val="24"/>
        </w:rPr>
        <w:t>学位论文作者签名：　　　　　　　　日期：　　　　年　　月　　日</w:t>
      </w:r>
    </w:p>
    <w:p>
      <w:r>
        <w:br w:type="page"/>
      </w:r>
    </w:p>
    <w:p>
      <w:pPr>
        <w:jc w:val="center"/>
      </w:pPr>
      <w:r>
        <w:rPr>
          <w:rFonts w:ascii="Times New Roman" w:hAnsi="Times New Roman" w:eastAsia="黑体" w:cs="黑体"/>
          <w:b/>
          <w:sz w:val="32"/>
        </w:rPr>
        <w:t>摘　要</w:t>
      </w:r>
    </w:p>
    <w:p>
      <w:pPr>
        <w:spacing w:line="360" w:lineRule="auto" w:after="120"/>
        <w:ind w:firstLine="480"/>
      </w:pPr>
      <w:r>
        <w:rPr>
          <w:rFonts w:ascii="Times New Roman" w:hAnsi="Times New Roman" w:eastAsia="宋体" w:cs="宋体"/>
          <w:sz w:val="24"/>
        </w:rPr>
        <w:t>高校教学管理中存在大量以图片、拍照或扫描件形式流转的学生成绩单与班级成绩表，人工录入效率低、易出错。本文设计并实现了一套基于PaddleOCR</w:t>
      </w:r>
      <w:r>
        <w:rPr>
          <w:rFonts w:ascii="Times New Roman" w:hAnsi="Times New Roman" w:eastAsia="宋体" w:cs="宋体"/>
          <w:sz w:val="24"/>
          <w:vertAlign w:val="superscript"/>
        </w:rPr>
        <w:t>[1]</w:t>
      </w:r>
      <w:r>
        <w:rPr>
          <w:rFonts w:ascii="Times New Roman" w:hAnsi="Times New Roman" w:eastAsia="宋体" w:cs="宋体"/>
          <w:sz w:val="24"/>
        </w:rPr>
        <w:t>与PaddlePaddle</w:t>
      </w:r>
      <w:r>
        <w:rPr>
          <w:rFonts w:ascii="Times New Roman" w:hAnsi="Times New Roman" w:eastAsia="宋体" w:cs="宋体"/>
          <w:sz w:val="24"/>
          <w:vertAlign w:val="superscript"/>
        </w:rPr>
        <w:t>[7]</w:t>
      </w:r>
      <w:r>
        <w:rPr>
          <w:rFonts w:ascii="Times New Roman" w:hAnsi="Times New Roman" w:eastAsia="宋体" w:cs="宋体"/>
          <w:sz w:val="24"/>
        </w:rPr>
        <w:t>生态、并结合OpenCV</w:t>
      </w:r>
      <w:r>
        <w:rPr>
          <w:rFonts w:ascii="Times New Roman" w:hAnsi="Times New Roman" w:eastAsia="宋体" w:cs="宋体"/>
          <w:sz w:val="24"/>
          <w:vertAlign w:val="superscript"/>
        </w:rPr>
        <w:t>[6]</w:t>
      </w:r>
      <w:r>
        <w:rPr>
          <w:rFonts w:ascii="Times New Roman" w:hAnsi="Times New Roman" w:eastAsia="宋体" w:cs="宋体"/>
          <w:sz w:val="24"/>
        </w:rPr>
        <w:t>的学生成绩单自动识别系统，完成从图像输入、预处理、文字检测到表格结构恢复、字段结构化、前端校对与高亮联动，直至 Excel 导出的完整链路。系统采用FastAPI</w:t>
      </w:r>
      <w:r>
        <w:rPr>
          <w:rFonts w:ascii="Times New Roman" w:hAnsi="Times New Roman" w:eastAsia="宋体" w:cs="宋体"/>
          <w:sz w:val="24"/>
          <w:vertAlign w:val="superscript"/>
        </w:rPr>
        <w:t>[4]</w:t>
      </w:r>
      <w:r>
        <w:rPr>
          <w:rFonts w:ascii="Times New Roman" w:hAnsi="Times New Roman" w:eastAsia="宋体" w:cs="宋体"/>
          <w:sz w:val="24"/>
        </w:rPr>
        <w:t>提供 REST 接口，浏览器端以原生 HTML/CSS/JavaScript 实现交互。在表格恢复方面，综合采用基于 OCR 检测框的几何聚类、表格线网格提取以及PaddleX</w:t>
      </w:r>
      <w:r>
        <w:rPr>
          <w:rFonts w:ascii="Times New Roman" w:hAnsi="Times New Roman" w:eastAsia="宋体" w:cs="宋体"/>
          <w:sz w:val="24"/>
          <w:vertAlign w:val="superscript"/>
        </w:rPr>
        <w:t>[2]</w:t>
      </w:r>
      <w:r>
        <w:rPr>
          <w:rFonts w:ascii="Times New Roman" w:hAnsi="Times New Roman" w:eastAsia="宋体" w:cs="宋体"/>
          <w:sz w:val="24"/>
        </w:rPr>
        <w:t>表格识别流水线兜底的多路径策略；并引入二次聚焦 OCR 与单元格局部补识别，以提升短数字与小数点的召回率。实验与运行结果表明，相较传统“整图单次 OCR + 按阅读顺序拼接”或纯人工录入方式，本系统在结构化准确率、可解释性（置信度与框选高亮）以及端到端处理效率方面具有明显优势。</w:t>
      </w:r>
    </w:p>
    <w:p>
      <w:r>
        <w:rPr>
          <w:rFonts w:ascii="Times New Roman" w:hAnsi="Times New Roman" w:eastAsia="宋体" w:cs="宋体"/>
          <w:b/>
          <w:sz w:val="24"/>
        </w:rPr>
        <w:t>关键词：成绩单识别；PaddleOCR；表格结构恢复；FastAPI；OpenCV</w:t>
      </w:r>
    </w:p>
    <w:p>
      <w:r>
        <w:br w:type="page"/>
      </w:r>
    </w:p>
    <w:p>
      <w:pPr>
        <w:jc w:val="center"/>
      </w:pPr>
      <w:r>
        <w:rPr>
          <w:b/>
          <w:sz w:val="32"/>
        </w:rPr>
        <w:t>ABSTRACT</w:t>
      </w:r>
    </w:p>
    <w:p>
      <w:pPr>
        <w:spacing w:line="360" w:lineRule="auto"/>
      </w:pPr>
      <w:r>
        <w:rPr>
          <w:rFonts w:ascii="Times New Roman" w:hAnsi="Times New Roman"/>
          <w:sz w:val="24"/>
        </w:rPr>
        <w:t>Student transcripts and class grade sheets often circulate as images or scans in university administration, where manual digitization is slow and error-prone. This thesis presents an automatic recognition system based on PaddleOCR and OpenCV, covering image preprocessing, text detection and recognition, table structure recovery, structured field extraction, interactive proofreading with highlight linkage, and Excel export. The backend is built with FastAPI; the frontend uses plain HTML/CSS/JavaScript. For table recovery, a multi-path strategy combines geometry clustering on OCR boxes, grid-line based reconstruction, and a PaddleX table-recognition fallback. Secondary focused OCR and local cell re-recognition improve recall for short numeric cells. Compared with traditional single-pass OCR or purely manual entry, the proposed system offers better structural fidelity, explainability via confidences and overlays, and higher end-to-end efficiency.</w:t>
      </w:r>
    </w:p>
    <w:p>
      <w:r>
        <w:rPr>
          <w:rFonts w:ascii="Times New Roman" w:hAnsi="Times New Roman"/>
          <w:b/>
          <w:sz w:val="24"/>
        </w:rPr>
        <w:t>Keywords: transcript recognition; PaddleOCR; table structure recovery; FastAPI; OpenCV</w:t>
      </w:r>
    </w:p>
    <w:p>
      <w:r>
        <w:br w:type="page"/>
      </w:r>
    </w:p>
    <w:p>
      <w:pPr>
        <w:jc w:val="center"/>
      </w:pPr>
      <w:r>
        <w:rPr>
          <w:rFonts w:ascii="Times New Roman" w:hAnsi="Times New Roman" w:eastAsia="黑体" w:cs="黑体"/>
          <w:b/>
          <w:sz w:val="32"/>
        </w:rPr>
        <w:t>目　录</w:t>
      </w:r>
    </w:p>
    <w:p>
      <w:r>
        <w:rPr>
          <w:rFonts w:ascii="Times New Roman" w:hAnsi="Times New Roman" w:eastAsia="宋体" w:cs="宋体"/>
          <w:sz w:val="24"/>
        </w:rPr>
        <w:t>第1章　绪论………………………………………………………………1</w:t>
      </w:r>
    </w:p>
    <w:p>
      <w:r>
        <w:rPr>
          <w:rFonts w:ascii="Times New Roman" w:hAnsi="Times New Roman" w:eastAsia="宋体" w:cs="宋体"/>
          <w:sz w:val="24"/>
        </w:rPr>
        <w:t xml:space="preserve">　1.1　研究背景与意义………………………………………………1</w:t>
      </w:r>
    </w:p>
    <w:p>
      <w:r>
        <w:rPr>
          <w:rFonts w:ascii="Times New Roman" w:hAnsi="Times New Roman" w:eastAsia="宋体" w:cs="宋体"/>
          <w:sz w:val="24"/>
        </w:rPr>
        <w:t xml:space="preserve">　1.2　国内外研究现状………………………………………………2</w:t>
      </w:r>
    </w:p>
    <w:p>
      <w:r>
        <w:rPr>
          <w:rFonts w:ascii="Times New Roman" w:hAnsi="Times New Roman" w:eastAsia="宋体" w:cs="宋体"/>
          <w:sz w:val="24"/>
        </w:rPr>
        <w:t xml:space="preserve">　1.3　研究内容与方法………………………………………………3</w:t>
      </w:r>
    </w:p>
    <w:p>
      <w:r>
        <w:rPr>
          <w:rFonts w:ascii="Times New Roman" w:hAnsi="Times New Roman" w:eastAsia="宋体" w:cs="宋体"/>
          <w:sz w:val="24"/>
        </w:rPr>
        <w:t xml:space="preserve">　1.4　论文组织结构……………………………………………………4</w:t>
      </w:r>
    </w:p>
    <w:p>
      <w:r>
        <w:rPr>
          <w:rFonts w:ascii="Times New Roman" w:hAnsi="Times New Roman" w:eastAsia="宋体" w:cs="宋体"/>
          <w:sz w:val="24"/>
        </w:rPr>
        <w:t>第2章　相关技术与理论基础…………………………………………5</w:t>
      </w:r>
    </w:p>
    <w:p>
      <w:r>
        <w:rPr>
          <w:rFonts w:ascii="Times New Roman" w:hAnsi="Times New Roman" w:eastAsia="宋体" w:cs="宋体"/>
          <w:sz w:val="24"/>
        </w:rPr>
        <w:t xml:space="preserve">　2.1　文档图像与 OCR 概述…………………………………………5</w:t>
      </w:r>
    </w:p>
    <w:p>
      <w:r>
        <w:rPr>
          <w:rFonts w:ascii="Times New Roman" w:hAnsi="Times New Roman" w:eastAsia="宋体" w:cs="宋体"/>
          <w:sz w:val="24"/>
        </w:rPr>
        <w:t xml:space="preserve">　2.2　深度学习文字检测与识别……………………………………7</w:t>
      </w:r>
    </w:p>
    <w:p>
      <w:r>
        <w:rPr>
          <w:rFonts w:ascii="Times New Roman" w:hAnsi="Times New Roman" w:eastAsia="宋体" w:cs="宋体"/>
          <w:sz w:val="24"/>
        </w:rPr>
        <w:t xml:space="preserve">　2.3　PaddleOCR 与 PaddleX 表格理解……………………………9</w:t>
      </w:r>
    </w:p>
    <w:p>
      <w:r>
        <w:rPr>
          <w:rFonts w:ascii="Times New Roman" w:hAnsi="Times New Roman" w:eastAsia="宋体" w:cs="宋体"/>
          <w:sz w:val="24"/>
        </w:rPr>
        <w:t xml:space="preserve">　2.4　OpenCV 与经典文档图像处理………………………………11</w:t>
      </w:r>
    </w:p>
    <w:p>
      <w:r>
        <w:rPr>
          <w:rFonts w:ascii="Times New Roman" w:hAnsi="Times New Roman" w:eastAsia="宋体" w:cs="宋体"/>
          <w:sz w:val="24"/>
        </w:rPr>
        <w:t xml:space="preserve">　2.5　Web 服务、序列化与 Excel 导出……………………………13</w:t>
      </w:r>
    </w:p>
    <w:p>
      <w:r>
        <w:rPr>
          <w:rFonts w:ascii="Times New Roman" w:hAnsi="Times New Roman" w:eastAsia="宋体" w:cs="宋体"/>
          <w:sz w:val="24"/>
        </w:rPr>
        <w:t xml:space="preserve">　2.6　评测指标与实验设计原则……………………………………14</w:t>
      </w:r>
    </w:p>
    <w:p>
      <w:r>
        <w:rPr>
          <w:rFonts w:ascii="Times New Roman" w:hAnsi="Times New Roman" w:eastAsia="宋体" w:cs="宋体"/>
          <w:sz w:val="24"/>
        </w:rPr>
        <w:t>第3章　系统需求分析与总体设计……………………………………16</w:t>
      </w:r>
    </w:p>
    <w:p>
      <w:r>
        <w:rPr>
          <w:rFonts w:ascii="Times New Roman" w:hAnsi="Times New Roman" w:eastAsia="宋体" w:cs="宋体"/>
          <w:sz w:val="24"/>
        </w:rPr>
        <w:t xml:space="preserve">　3.1　角色、场景与业务流程……………………………………16</w:t>
      </w:r>
    </w:p>
    <w:p>
      <w:r>
        <w:rPr>
          <w:rFonts w:ascii="Times New Roman" w:hAnsi="Times New Roman" w:eastAsia="宋体" w:cs="宋体"/>
          <w:sz w:val="24"/>
        </w:rPr>
        <w:t xml:space="preserve">　3.2　功能需求详述…………………………………………………18</w:t>
      </w:r>
    </w:p>
    <w:p>
      <w:r>
        <w:rPr>
          <w:rFonts w:ascii="Times New Roman" w:hAnsi="Times New Roman" w:eastAsia="宋体" w:cs="宋体"/>
          <w:sz w:val="24"/>
        </w:rPr>
        <w:t xml:space="preserve">　3.3　非功能需求与约束……………………………………………20</w:t>
      </w:r>
    </w:p>
    <w:p>
      <w:r>
        <w:rPr>
          <w:rFonts w:ascii="Times New Roman" w:hAnsi="Times New Roman" w:eastAsia="宋体" w:cs="宋体"/>
          <w:sz w:val="24"/>
        </w:rPr>
        <w:t xml:space="preserve">　3.4　总体架构与模块划分…………………………………………21</w:t>
      </w:r>
    </w:p>
    <w:p>
      <w:r>
        <w:rPr>
          <w:rFonts w:ascii="Times New Roman" w:hAnsi="Times New Roman" w:eastAsia="宋体" w:cs="宋体"/>
          <w:sz w:val="24"/>
        </w:rPr>
        <w:t xml:space="preserve">　3.5　接口、数据模型与错误处理…………………………………23</w:t>
      </w:r>
    </w:p>
    <w:p>
      <w:r>
        <w:rPr>
          <w:rFonts w:ascii="Times New Roman" w:hAnsi="Times New Roman" w:eastAsia="宋体" w:cs="宋体"/>
          <w:sz w:val="24"/>
        </w:rPr>
        <w:t xml:space="preserve">　3.6　数据流、部署与安全边界……………………………………24</w:t>
      </w:r>
    </w:p>
    <w:p>
      <w:r>
        <w:rPr>
          <w:rFonts w:ascii="Times New Roman" w:hAnsi="Times New Roman" w:eastAsia="宋体" w:cs="宋体"/>
          <w:sz w:val="24"/>
        </w:rPr>
        <w:t>第4章　图像预处理与 OCR 模块设计………………………………26</w:t>
      </w:r>
    </w:p>
    <w:p>
      <w:r>
        <w:rPr>
          <w:rFonts w:ascii="Times New Roman" w:hAnsi="Times New Roman" w:eastAsia="宋体" w:cs="宋体"/>
          <w:sz w:val="24"/>
        </w:rPr>
        <w:t xml:space="preserve">　4.1　图像表示、解码与调试输出…………………………………26</w:t>
      </w:r>
    </w:p>
    <w:p>
      <w:r>
        <w:rPr>
          <w:rFonts w:ascii="Times New Roman" w:hAnsi="Times New Roman" w:eastAsia="宋体" w:cs="宋体"/>
          <w:sz w:val="24"/>
        </w:rPr>
        <w:t xml:space="preserve">　4.2　输入归一化与透明通道处理…………………………………28</w:t>
      </w:r>
    </w:p>
    <w:p>
      <w:r>
        <w:rPr>
          <w:rFonts w:ascii="Times New Roman" w:hAnsi="Times New Roman" w:eastAsia="宋体" w:cs="宋体"/>
          <w:sz w:val="24"/>
        </w:rPr>
        <w:t xml:space="preserve">　4.3　白纸区域检测与主体裁切……………………………………29</w:t>
      </w:r>
    </w:p>
    <w:p>
      <w:r>
        <w:rPr>
          <w:rFonts w:ascii="Times New Roman" w:hAnsi="Times New Roman" w:eastAsia="宋体" w:cs="宋体"/>
          <w:sz w:val="24"/>
        </w:rPr>
        <w:t xml:space="preserve">　4.4　透视校正与几何变换矩阵……………………………………31</w:t>
      </w:r>
    </w:p>
    <w:p>
      <w:r>
        <w:rPr>
          <w:rFonts w:ascii="Times New Roman" w:hAnsi="Times New Roman" w:eastAsia="宋体" w:cs="宋体"/>
          <w:sz w:val="24"/>
        </w:rPr>
        <w:t xml:space="preserve">　4.5　旋转纠偏与文档朝向…………………………………………32</w:t>
      </w:r>
    </w:p>
    <w:p>
      <w:r>
        <w:rPr>
          <w:rFonts w:ascii="Times New Roman" w:hAnsi="Times New Roman" w:eastAsia="宋体" w:cs="宋体"/>
          <w:sz w:val="24"/>
        </w:rPr>
        <w:t xml:space="preserve">　4.6　表格与标题区域聚焦及小图增强……………………………34</w:t>
      </w:r>
    </w:p>
    <w:p>
      <w:r>
        <w:rPr>
          <w:rFonts w:ascii="Times New Roman" w:hAnsi="Times New Roman" w:eastAsia="宋体" w:cs="宋体"/>
          <w:sz w:val="24"/>
        </w:rPr>
        <w:t xml:space="preserve">　4.7　OCR 调用封装与版本兼容……………………………………35</w:t>
      </w:r>
    </w:p>
    <w:p>
      <w:r>
        <w:rPr>
          <w:rFonts w:ascii="Times New Roman" w:hAnsi="Times New Roman" w:eastAsia="宋体" w:cs="宋体"/>
          <w:sz w:val="24"/>
        </w:rPr>
        <w:t xml:space="preserve">　4.8　HTTP 服务层设计………………………………………………37</w:t>
      </w:r>
    </w:p>
    <w:p>
      <w:r>
        <w:rPr>
          <w:rFonts w:ascii="Times New Roman" w:hAnsi="Times New Roman" w:eastAsia="宋体" w:cs="宋体"/>
          <w:sz w:val="24"/>
        </w:rPr>
        <w:t>第5章　表格结构恢复与业务解析……………………………………38</w:t>
      </w:r>
    </w:p>
    <w:p>
      <w:r>
        <w:rPr>
          <w:rFonts w:ascii="Times New Roman" w:hAnsi="Times New Roman" w:eastAsia="宋体" w:cs="宋体"/>
          <w:sz w:val="24"/>
        </w:rPr>
        <w:t xml:space="preserve">　5.1　问题建模与多路径策略概述…………………………………38</w:t>
      </w:r>
    </w:p>
    <w:p>
      <w:r>
        <w:rPr>
          <w:rFonts w:ascii="Times New Roman" w:hAnsi="Times New Roman" w:eastAsia="宋体" w:cs="宋体"/>
          <w:sz w:val="24"/>
        </w:rPr>
        <w:t xml:space="preserve">　5.2　基于 OCR 检测框的行列聚类重建……………………………40</w:t>
      </w:r>
    </w:p>
    <w:p>
      <w:r>
        <w:rPr>
          <w:rFonts w:ascii="Times New Roman" w:hAnsi="Times New Roman" w:eastAsia="宋体" w:cs="宋体"/>
          <w:sz w:val="24"/>
        </w:rPr>
        <w:t xml:space="preserve">　5.3　表格线提取与线网格结构恢复………………………………42</w:t>
      </w:r>
    </w:p>
    <w:p>
      <w:r>
        <w:rPr>
          <w:rFonts w:ascii="Times New Roman" w:hAnsi="Times New Roman" w:eastAsia="宋体" w:cs="宋体"/>
          <w:sz w:val="24"/>
        </w:rPr>
        <w:t xml:space="preserve">　5.4　PaddleX 表格流水线与 HTML 解析…………………………44</w:t>
      </w:r>
    </w:p>
    <w:p>
      <w:r>
        <w:rPr>
          <w:rFonts w:ascii="Times New Roman" w:hAnsi="Times New Roman" w:eastAsia="宋体" w:cs="宋体"/>
          <w:sz w:val="24"/>
        </w:rPr>
        <w:t xml:space="preserve">　5.5　网格质量评分与路径决策………………………………………45</w:t>
      </w:r>
    </w:p>
    <w:p>
      <w:r>
        <w:rPr>
          <w:rFonts w:ascii="Times New Roman" w:hAnsi="Times New Roman" w:eastAsia="宋体" w:cs="宋体"/>
          <w:sz w:val="24"/>
        </w:rPr>
        <w:t xml:space="preserve">　5.6　二次聚焦 OCR 与解析管线……………………………………46</w:t>
      </w:r>
    </w:p>
    <w:p>
      <w:r>
        <w:rPr>
          <w:rFonts w:ascii="Times New Roman" w:hAnsi="Times New Roman" w:eastAsia="宋体" w:cs="宋体"/>
          <w:sz w:val="24"/>
        </w:rPr>
        <w:t xml:space="preserve">　5.7　表头识别、元信息与字段清洗………………………………48</w:t>
      </w:r>
    </w:p>
    <w:p>
      <w:r>
        <w:rPr>
          <w:rFonts w:ascii="Times New Roman" w:hAnsi="Times New Roman" w:eastAsia="宋体" w:cs="宋体"/>
          <w:sz w:val="24"/>
        </w:rPr>
        <w:t xml:space="preserve">　5.8　碎行合并、单元格区域与数字补识别………………………49</w:t>
      </w:r>
    </w:p>
    <w:p>
      <w:r>
        <w:rPr>
          <w:rFonts w:ascii="Times New Roman" w:hAnsi="Times New Roman" w:eastAsia="宋体" w:cs="宋体"/>
          <w:sz w:val="24"/>
        </w:rPr>
        <w:t xml:space="preserve">　5.9　前端高亮联动与 Excel 导出…………………………………51</w:t>
      </w:r>
    </w:p>
    <w:p>
      <w:r>
        <w:rPr>
          <w:rFonts w:ascii="Times New Roman" w:hAnsi="Times New Roman" w:eastAsia="宋体" w:cs="宋体"/>
          <w:sz w:val="24"/>
        </w:rPr>
        <w:t>第6章　系统实现、测试与实验分析…………………………………52</w:t>
      </w:r>
    </w:p>
    <w:p>
      <w:r>
        <w:rPr>
          <w:rFonts w:ascii="Times New Roman" w:hAnsi="Times New Roman" w:eastAsia="宋体" w:cs="宋体"/>
          <w:sz w:val="24"/>
        </w:rPr>
        <w:t xml:space="preserve">　6.1　实现环境与工具链……………………………………………52</w:t>
      </w:r>
    </w:p>
    <w:p>
      <w:r>
        <w:rPr>
          <w:rFonts w:ascii="Times New Roman" w:hAnsi="Times New Roman" w:eastAsia="宋体" w:cs="宋体"/>
          <w:sz w:val="24"/>
        </w:rPr>
        <w:t xml:space="preserve">　6.2　系统功能实现与运行说明……………………………………54</w:t>
      </w:r>
    </w:p>
    <w:p>
      <w:r>
        <w:rPr>
          <w:rFonts w:ascii="Times New Roman" w:hAnsi="Times New Roman" w:eastAsia="宋体" w:cs="宋体"/>
          <w:sz w:val="24"/>
        </w:rPr>
        <w:t xml:space="preserve">　6.3　测试方案与单元测试……………………………………………56</w:t>
      </w:r>
    </w:p>
    <w:p>
      <w:r>
        <w:rPr>
          <w:rFonts w:ascii="Times New Roman" w:hAnsi="Times New Roman" w:eastAsia="宋体" w:cs="宋体"/>
          <w:sz w:val="24"/>
        </w:rPr>
        <w:t xml:space="preserve">　6.4　实验数据集与对比基线…………………………………………57</w:t>
      </w:r>
    </w:p>
    <w:p>
      <w:r>
        <w:rPr>
          <w:rFonts w:ascii="Times New Roman" w:hAnsi="Times New Roman" w:eastAsia="宋体" w:cs="宋体"/>
          <w:sz w:val="24"/>
        </w:rPr>
        <w:t xml:space="preserve">　6.5　对比实验与结果分析……………………………………………58</w:t>
      </w:r>
    </w:p>
    <w:p>
      <w:r>
        <w:rPr>
          <w:rFonts w:ascii="Times New Roman" w:hAnsi="Times New Roman" w:eastAsia="宋体" w:cs="宋体"/>
          <w:sz w:val="24"/>
        </w:rPr>
        <w:t xml:space="preserve">　6.6　消融讨论与典型案例……………………………………………60</w:t>
      </w:r>
    </w:p>
    <w:p>
      <w:r>
        <w:rPr>
          <w:rFonts w:ascii="Times New Roman" w:hAnsi="Times New Roman" w:eastAsia="宋体" w:cs="宋体"/>
          <w:sz w:val="24"/>
        </w:rPr>
        <w:t xml:space="preserve">　6.7　性能、瓶颈与改进方向…………………………………………61</w:t>
      </w:r>
    </w:p>
    <w:p>
      <w:r>
        <w:rPr>
          <w:rFonts w:ascii="Times New Roman" w:hAnsi="Times New Roman" w:eastAsia="宋体" w:cs="宋体"/>
          <w:sz w:val="24"/>
        </w:rPr>
        <w:t>第7章　总结与展望……………………………………………………62</w:t>
      </w:r>
    </w:p>
    <w:p>
      <w:r>
        <w:rPr>
          <w:rFonts w:ascii="Times New Roman" w:hAnsi="Times New Roman" w:eastAsia="宋体" w:cs="宋体"/>
          <w:sz w:val="24"/>
        </w:rPr>
        <w:t>参考文献…………………………………………………………………64</w:t>
      </w:r>
    </w:p>
    <w:p>
      <w:r>
        <w:rPr>
          <w:rFonts w:ascii="Times New Roman" w:hAnsi="Times New Roman" w:eastAsia="宋体" w:cs="宋体"/>
          <w:sz w:val="24"/>
        </w:rPr>
        <w:t>致谢………………………………………………………………………66</w:t>
      </w:r>
    </w:p>
    <w:p>
      <w:r>
        <w:br w:type="page"/>
      </w:r>
    </w:p>
    <w:p>
      <w:pPr>
        <w:spacing w:before="240" w:after="120"/>
      </w:pPr>
      <w:r>
        <w:rPr>
          <w:rFonts w:ascii="Times New Roman" w:hAnsi="Times New Roman" w:eastAsia="黑体" w:cs="黑体"/>
          <w:b/>
          <w:sz w:val="32"/>
        </w:rPr>
        <w:t>第1章　绪论</w:t>
      </w:r>
    </w:p>
    <w:p>
      <w:pPr>
        <w:spacing w:before="120" w:after="120"/>
      </w:pPr>
      <w:r>
        <w:rPr>
          <w:rFonts w:ascii="Times New Roman" w:hAnsi="Times New Roman" w:eastAsia="黑体" w:cs="黑体"/>
          <w:b/>
          <w:sz w:val="28"/>
        </w:rPr>
        <w:t>1.1　研究背景与意义</w:t>
      </w:r>
    </w:p>
    <w:p>
      <w:pPr>
        <w:spacing w:line="360" w:lineRule="auto" w:after="120"/>
        <w:ind w:firstLine="480"/>
      </w:pPr>
      <w:r>
        <w:rPr>
          <w:rFonts w:ascii="Times New Roman" w:hAnsi="Times New Roman" w:eastAsia="宋体" w:cs="宋体"/>
          <w:sz w:val="24"/>
        </w:rPr>
        <w:t>成绩管理是高校教学运行的基础环节。除教务系统导出的电子表格外，教师与辅导员手中还大量存在 截图、手机拍照、扫描 PDF 转图等“非结构化”成绩单。将其转为可计算、可统计的电子表格，传统做法依赖人工对照录入，耗时长且易在姓名、学号、小数成绩等字段上产生笔误。光学字符识别（OCR）可将像素转为文本</w:t>
      </w:r>
      <w:r>
        <w:rPr>
          <w:rFonts w:ascii="Times New Roman" w:hAnsi="Times New Roman" w:eastAsia="宋体" w:cs="宋体"/>
          <w:sz w:val="24"/>
          <w:vertAlign w:val="superscript"/>
        </w:rPr>
        <w:t>[1]</w:t>
      </w:r>
      <w:r>
        <w:rPr>
          <w:rFonts w:ascii="Times New Roman" w:hAnsi="Times New Roman" w:eastAsia="宋体" w:cs="宋体"/>
          <w:sz w:val="24"/>
        </w:rPr>
        <w:t>，但成绩单类图像往往伴随透视变形、背景杂乱、表格线断裂、字号偏小等问题；若仅调用通用 OCR 引擎而不做版面理解与表格重建，输出仍难以直接用于业务系统。</w:t>
      </w:r>
    </w:p>
    <w:p>
      <w:pPr>
        <w:spacing w:line="360" w:lineRule="auto" w:after="120"/>
        <w:ind w:firstLine="480"/>
      </w:pPr>
      <w:r>
        <w:rPr>
          <w:rFonts w:ascii="Times New Roman" w:hAnsi="Times New Roman" w:eastAsia="宋体" w:cs="宋体"/>
          <w:sz w:val="24"/>
        </w:rPr>
        <w:t>因此，面向成绩单场景构建“预处理—检测识别—表格恢复—结构化—人机协同校对—导出”的一体化系统，对提升教学管理信息化水平、减轻基层教务负担具有现实意义；同时在技术层面，也可作为文档智能与多模态感知应用的典型实践。</w:t>
      </w:r>
    </w:p>
    <w:p>
      <w:pPr>
        <w:spacing w:before="120" w:after="120"/>
      </w:pPr>
      <w:r>
        <w:rPr>
          <w:rFonts w:ascii="Times New Roman" w:hAnsi="Times New Roman" w:eastAsia="黑体" w:cs="黑体"/>
          <w:b/>
          <w:sz w:val="28"/>
        </w:rPr>
        <w:t>1.2　国内外研究现状</w:t>
      </w:r>
    </w:p>
    <w:p>
      <w:pPr>
        <w:spacing w:line="360" w:lineRule="auto" w:after="120"/>
        <w:ind w:firstLine="480"/>
      </w:pPr>
      <w:r>
        <w:rPr>
          <w:rFonts w:ascii="Times New Roman" w:hAnsi="Times New Roman" w:eastAsia="宋体" w:cs="宋体"/>
          <w:sz w:val="24"/>
        </w:rPr>
        <w:t>文字识别经历了由传统模板匹配、手工特征到深度卷积网络与序列建模的演进。近年来，开源方案如 Tesseract、PaddleOCR、EasyOCR 等在中文场景取得了较高可用性</w:t>
      </w:r>
      <w:r>
        <w:rPr>
          <w:rFonts w:ascii="Times New Roman" w:hAnsi="Times New Roman" w:eastAsia="宋体" w:cs="宋体"/>
          <w:sz w:val="24"/>
          <w:vertAlign w:val="superscript"/>
        </w:rPr>
        <w:t>[1]</w:t>
      </w:r>
      <w:r>
        <w:rPr>
          <w:rFonts w:ascii="Times New Roman" w:hAnsi="Times New Roman" w:eastAsia="宋体" w:cs="宋体"/>
          <w:sz w:val="24"/>
        </w:rPr>
        <w:t>。表格理解方面，除基于规则的几何分析外，端到端表格检测与结构识别网络、以及PaddleX等工具链中的表格识别流水线亦被广泛使用</w:t>
      </w:r>
      <w:r>
        <w:rPr>
          <w:rFonts w:ascii="Times New Roman" w:hAnsi="Times New Roman" w:eastAsia="宋体" w:cs="宋体"/>
          <w:sz w:val="24"/>
          <w:vertAlign w:val="superscript"/>
        </w:rPr>
        <w:t>[2]</w:t>
      </w:r>
      <w:r>
        <w:rPr>
          <w:rFonts w:ascii="Times New Roman" w:hAnsi="Times New Roman" w:eastAsia="宋体" w:cs="宋体"/>
          <w:sz w:val="24"/>
          <w:vertAlign w:val="superscript"/>
        </w:rPr>
        <w:t>[5]</w:t>
      </w:r>
      <w:r>
        <w:rPr>
          <w:rFonts w:ascii="Times New Roman" w:hAnsi="Times New Roman" w:eastAsia="宋体" w:cs="宋体"/>
          <w:sz w:val="24"/>
        </w:rPr>
        <w:t>。工程上，单一模型往往难以覆盖“规则截图、纸质拍照、弱线表”等混合分布，多路径融合与轻量回退策略成为提高鲁棒性的重要手段。</w:t>
      </w:r>
    </w:p>
    <w:p>
      <w:pPr>
        <w:spacing w:before="120" w:after="120"/>
      </w:pPr>
      <w:r>
        <w:rPr>
          <w:rFonts w:ascii="Times New Roman" w:hAnsi="Times New Roman" w:eastAsia="黑体" w:cs="黑体"/>
          <w:b/>
          <w:sz w:val="28"/>
        </w:rPr>
        <w:t>1.3　研究内容与方法</w:t>
      </w:r>
    </w:p>
    <w:p>
      <w:pPr>
        <w:spacing w:line="360" w:lineRule="auto" w:after="120"/>
        <w:ind w:firstLine="480"/>
      </w:pPr>
      <w:r>
        <w:rPr>
          <w:rFonts w:ascii="Times New Roman" w:hAnsi="Times New Roman" w:eastAsia="宋体" w:cs="宋体"/>
          <w:sz w:val="24"/>
        </w:rPr>
        <w:t>本文以开源项目“学生成绩单自动识别系统”为工程载体，主要工作包括：（1）基于OpenCV</w:t>
      </w:r>
      <w:r>
        <w:rPr>
          <w:rFonts w:ascii="Times New Roman" w:hAnsi="Times New Roman" w:eastAsia="宋体" w:cs="宋体"/>
          <w:sz w:val="24"/>
          <w:vertAlign w:val="superscript"/>
        </w:rPr>
        <w:t>[6]</w:t>
      </w:r>
      <w:r>
        <w:rPr>
          <w:rFonts w:ascii="Times New Roman" w:hAnsi="Times New Roman" w:eastAsia="宋体" w:cs="宋体"/>
          <w:sz w:val="24"/>
        </w:rPr>
        <w:t>的输入归一化、白纸区域提取、透视校正、旋转纠偏与表格区域裁切；（2）封装PaddleOCR</w:t>
      </w:r>
      <w:r>
        <w:rPr>
          <w:rFonts w:ascii="Times New Roman" w:hAnsi="Times New Roman" w:eastAsia="宋体" w:cs="宋体"/>
          <w:sz w:val="24"/>
          <w:vertAlign w:val="superscript"/>
        </w:rPr>
        <w:t>[1]</w:t>
      </w:r>
      <w:r>
        <w:rPr>
          <w:rFonts w:ascii="Times New Roman" w:hAnsi="Times New Roman" w:eastAsia="宋体" w:cs="宋体"/>
          <w:sz w:val="24"/>
        </w:rPr>
        <w:t>完成文本检测与识别，并记录检测框与置信度；（3）设计 OCR 框聚类、表格线网格与PaddleX</w:t>
      </w:r>
      <w:r>
        <w:rPr>
          <w:rFonts w:ascii="Times New Roman" w:hAnsi="Times New Roman" w:eastAsia="宋体" w:cs="宋体"/>
          <w:sz w:val="24"/>
          <w:vertAlign w:val="superscript"/>
        </w:rPr>
        <w:t>[2]</w:t>
      </w:r>
      <w:r>
        <w:rPr>
          <w:rFonts w:ascii="Times New Roman" w:hAnsi="Times New Roman" w:eastAsia="宋体" w:cs="宋体"/>
          <w:sz w:val="24"/>
        </w:rPr>
        <w:t>兜底相结合的多路径表格恢复；（4）在解析层实现表头识别、碎行合并、单元格区域估计与数字补识别；（5）基于FastAPI</w:t>
      </w:r>
      <w:r>
        <w:rPr>
          <w:rFonts w:ascii="Times New Roman" w:hAnsi="Times New Roman" w:eastAsia="宋体" w:cs="宋体"/>
          <w:sz w:val="24"/>
          <w:vertAlign w:val="superscript"/>
        </w:rPr>
        <w:t>[4]</w:t>
      </w:r>
      <w:r>
        <w:rPr>
          <w:rFonts w:ascii="Times New Roman" w:hAnsi="Times New Roman" w:eastAsia="宋体" w:cs="宋体"/>
          <w:sz w:val="24"/>
        </w:rPr>
        <w:t>与静态前端实现上传、预览、高亮联动与 Excel 导出。研究方法以工程实现与对比实验为主，辅以定量指标与定性分析；第6章进一步给出数据集划分、基线设置、对比表框架、运行截图位、消融与性能讨论及单元测试回归方案，便于在答辩前填入实测数据。</w:t>
      </w:r>
    </w:p>
    <w:p>
      <w:pPr>
        <w:spacing w:before="120" w:after="120"/>
      </w:pPr>
      <w:r>
        <w:rPr>
          <w:rFonts w:ascii="Times New Roman" w:hAnsi="Times New Roman" w:eastAsia="黑体" w:cs="黑体"/>
          <w:b/>
          <w:sz w:val="28"/>
        </w:rPr>
        <w:t>1.4　论文组织结构</w:t>
      </w:r>
    </w:p>
    <w:p>
      <w:pPr>
        <w:spacing w:line="360" w:lineRule="auto" w:after="120"/>
        <w:ind w:firstLine="480"/>
      </w:pPr>
      <w:r>
        <w:rPr>
          <w:rFonts w:ascii="Times New Roman" w:hAnsi="Times New Roman" w:eastAsia="宋体" w:cs="宋体"/>
          <w:sz w:val="24"/>
        </w:rPr>
        <w:t>全文共分七章，整体框架遵循“理论基础—需求与总体设计—核心算法与模块—系统实现与实验—总结”的工科论文常见写法。第2章从文档图像与 OCR 基本概念出发，综述深度学习检测识别、飞桨生态、OpenCV 文档处理、Web 与序列化技术及评测原则；第3章分析角色场景、功能与非功能需求，给出分层架构、模块职责、接口与数据模型；第4章围绕预处理流水线、几何变换、OCR 封装与 HTTP 服务展开；第5章讨论多路径表格恢复、解析纠错与前后端联动；第6章介绍实现环境、测试方案、对比实验与性能讨论；第7章总结全文并展望未来工作。</w:t>
      </w:r>
    </w:p>
    <w:p>
      <w:pPr>
        <w:spacing w:before="240" w:after="120"/>
      </w:pPr>
      <w:r>
        <w:rPr>
          <w:rFonts w:ascii="Times New Roman" w:hAnsi="Times New Roman" w:eastAsia="黑体" w:cs="黑体"/>
          <w:b/>
          <w:sz w:val="32"/>
        </w:rPr>
        <w:t>第2章　相关技术与理论基础</w:t>
      </w:r>
    </w:p>
    <w:p>
      <w:pPr>
        <w:spacing w:before="120" w:after="120"/>
      </w:pPr>
      <w:r>
        <w:rPr>
          <w:rFonts w:ascii="Times New Roman" w:hAnsi="Times New Roman" w:eastAsia="黑体" w:cs="黑体"/>
          <w:b/>
          <w:sz w:val="28"/>
        </w:rPr>
        <w:t>2.1　文档图像与 OCR 概述</w:t>
      </w:r>
    </w:p>
    <w:p>
      <w:pPr>
        <w:spacing w:line="360" w:lineRule="auto" w:after="120"/>
        <w:ind w:firstLine="480"/>
      </w:pPr>
      <w:r>
        <w:rPr>
          <w:rFonts w:ascii="Times New Roman" w:hAnsi="Times New Roman" w:eastAsia="宋体" w:cs="宋体"/>
          <w:sz w:val="24"/>
        </w:rPr>
        <w:t>文档图像与自然场景图像在统计特性上存在显著差异：前者往往具有规则网格、重复出现的笔画结构、较强的行列对齐先验，但也常见扫描噪声、JPEG 压缩块效应、复印底纹与拍照引入的透视与阴影。光学字符识别（OCR）的目标是将像素阵列映射为机器可读符号序列，在工程上通常拆为“在哪里读”（检测）与“读成什么”（识别）两个子问题，必要时还引入版面分析、表格结构恢复与语义后处理</w:t>
      </w:r>
      <w:r>
        <w:rPr>
          <w:rFonts w:ascii="Times New Roman" w:hAnsi="Times New Roman" w:eastAsia="宋体" w:cs="宋体"/>
          <w:sz w:val="24"/>
          <w:vertAlign w:val="superscript"/>
        </w:rPr>
        <w:t>[5]</w:t>
      </w:r>
      <w:r>
        <w:rPr>
          <w:rFonts w:ascii="Times New Roman" w:hAnsi="Times New Roman" w:eastAsia="宋体" w:cs="宋体"/>
          <w:sz w:val="24"/>
        </w:rPr>
        <w:t>。</w:t>
      </w:r>
    </w:p>
    <w:p>
      <w:pPr>
        <w:spacing w:line="360" w:lineRule="auto" w:after="120"/>
        <w:ind w:firstLine="480"/>
      </w:pPr>
      <w:r>
        <w:rPr>
          <w:rFonts w:ascii="Times New Roman" w:hAnsi="Times New Roman" w:eastAsia="宋体" w:cs="宋体"/>
          <w:sz w:val="24"/>
        </w:rPr>
        <w:t>传统 OCR 依赖二值化、连通域分析、投影分割与模板匹配，对版式固定、噪声可控的印刷体效果尚可，但对复杂背景、断笔、粘连与非常规字号的鲁棒性有限</w:t>
      </w:r>
      <w:r>
        <w:rPr>
          <w:rFonts w:ascii="Times New Roman" w:hAnsi="Times New Roman" w:eastAsia="宋体" w:cs="宋体"/>
          <w:sz w:val="24"/>
          <w:vertAlign w:val="superscript"/>
        </w:rPr>
        <w:t>[3]</w:t>
      </w:r>
      <w:r>
        <w:rPr>
          <w:rFonts w:ascii="Times New Roman" w:hAnsi="Times New Roman" w:eastAsia="宋体" w:cs="宋体"/>
          <w:sz w:val="24"/>
        </w:rPr>
        <w:t>。深度学习方法通过卷积或注意力机制自动学习层次特征，使检测与识别在开放场景下获得数量级提升；但神经网络对输入分辨率、对比度与几何对齐仍敏感，因此在成绩单这类“半结构化文档”上，往往仍需经典图像算法做归一化与几何校正，以放大深度模型的有效感受野并降低误检率</w:t>
      </w:r>
      <w:r>
        <w:rPr>
          <w:rFonts w:ascii="Times New Roman" w:hAnsi="Times New Roman" w:eastAsia="宋体" w:cs="宋体"/>
          <w:sz w:val="24"/>
          <w:vertAlign w:val="superscript"/>
        </w:rPr>
        <w:t>[6]</w:t>
      </w:r>
      <w:r>
        <w:rPr>
          <w:rFonts w:ascii="Times New Roman" w:hAnsi="Times New Roman" w:eastAsia="宋体" w:cs="宋体"/>
          <w:sz w:val="24"/>
        </w:rPr>
        <w:t>。</w:t>
      </w:r>
    </w:p>
    <w:p>
      <w:pPr>
        <w:spacing w:before="120" w:after="120"/>
      </w:pPr>
      <w:r>
        <w:rPr>
          <w:rFonts w:ascii="Times New Roman" w:hAnsi="Times New Roman" w:eastAsia="黑体" w:cs="黑体"/>
          <w:b/>
          <w:sz w:val="28"/>
        </w:rPr>
        <w:t>2.2　深度学习文字检测与识别</w:t>
      </w:r>
    </w:p>
    <w:p>
      <w:pPr>
        <w:spacing w:line="360" w:lineRule="auto" w:after="120"/>
        <w:ind w:firstLine="480"/>
      </w:pPr>
      <w:r>
        <w:rPr>
          <w:rFonts w:ascii="Times New Roman" w:hAnsi="Times New Roman" w:eastAsia="宋体" w:cs="宋体"/>
          <w:sz w:val="24"/>
        </w:rPr>
        <w:t>文本检测可视为一般目标检测的特例：早期工作将文字作为多方向目标，采用锚框回归或分割掩膜定位文本行；识别阶段则常将裁剪条带编码为序列，用 CTC、Attention 或 Transformer 解码器输出字符序列</w:t>
      </w:r>
      <w:r>
        <w:rPr>
          <w:rFonts w:ascii="Times New Roman" w:hAnsi="Times New Roman" w:eastAsia="宋体" w:cs="宋体"/>
          <w:sz w:val="24"/>
          <w:vertAlign w:val="superscript"/>
        </w:rPr>
        <w:t>[8]</w:t>
      </w:r>
      <w:r>
        <w:rPr>
          <w:rFonts w:ascii="Times New Roman" w:hAnsi="Times New Roman" w:eastAsia="宋体" w:cs="宋体"/>
          <w:sz w:val="24"/>
        </w:rPr>
        <w:t>。端到端模型试图联合优化检测与识别，但在表格单元格尺度差异大、密集小数字多的场景，解耦式“检测框 + 识别头”仍便于调试与替换</w:t>
      </w:r>
      <w:r>
        <w:rPr>
          <w:rFonts w:ascii="Times New Roman" w:hAnsi="Times New Roman" w:eastAsia="宋体" w:cs="宋体"/>
          <w:sz w:val="24"/>
          <w:vertAlign w:val="superscript"/>
        </w:rPr>
        <w:t>[5]</w:t>
      </w:r>
      <w:r>
        <w:rPr>
          <w:rFonts w:ascii="Times New Roman" w:hAnsi="Times New Roman" w:eastAsia="宋体" w:cs="宋体"/>
          <w:sz w:val="24"/>
        </w:rPr>
        <w:t>；其中检测分支广泛采用可微二值化等快速文本检测思想</w:t>
      </w:r>
      <w:r>
        <w:rPr>
          <w:rFonts w:ascii="Times New Roman" w:hAnsi="Times New Roman" w:eastAsia="宋体" w:cs="宋体"/>
          <w:sz w:val="24"/>
          <w:vertAlign w:val="superscript"/>
        </w:rPr>
        <w:t>[9]</w:t>
      </w:r>
      <w:r>
        <w:rPr>
          <w:rFonts w:ascii="Times New Roman" w:hAnsi="Times New Roman" w:eastAsia="宋体" w:cs="宋体"/>
          <w:sz w:val="24"/>
        </w:rPr>
        <w:t>。</w:t>
      </w:r>
    </w:p>
    <w:p>
      <w:pPr>
        <w:spacing w:line="360" w:lineRule="auto" w:after="120"/>
        <w:ind w:firstLine="480"/>
      </w:pPr>
      <w:r>
        <w:rPr>
          <w:rFonts w:ascii="Times New Roman" w:hAnsi="Times New Roman" w:eastAsia="宋体" w:cs="宋体"/>
          <w:sz w:val="24"/>
        </w:rPr>
        <w:t>置信度是工程落地的重要信号：低置信度不一定意味着错误，但可作为“需要人工复核”的触发条件；与几何框结合后，还能支持点击高亮、局部放大再识别等交互。本系统在 OCRItem 中统一保存 text、confidence 与 box，为后续表格聚类、低分标红与局部补识别提供一致的数据契约</w:t>
      </w:r>
      <w:r>
        <w:rPr>
          <w:rFonts w:ascii="Times New Roman" w:hAnsi="Times New Roman" w:eastAsia="宋体" w:cs="宋体"/>
          <w:sz w:val="24"/>
          <w:vertAlign w:val="superscript"/>
        </w:rPr>
        <w:t>[1]</w:t>
      </w:r>
      <w:r>
        <w:rPr>
          <w:rFonts w:ascii="Times New Roman" w:hAnsi="Times New Roman" w:eastAsia="宋体" w:cs="宋体"/>
          <w:sz w:val="24"/>
        </w:rPr>
        <w:t>。</w:t>
      </w:r>
    </w:p>
    <w:p>
      <w:pPr>
        <w:spacing w:before="120" w:after="120"/>
      </w:pPr>
      <w:r>
        <w:rPr>
          <w:rFonts w:ascii="Times New Roman" w:hAnsi="Times New Roman" w:eastAsia="黑体" w:cs="黑体"/>
          <w:b/>
          <w:sz w:val="28"/>
        </w:rPr>
        <w:t>2.3　PaddleOCR 与 PaddleX 表格理解</w:t>
      </w:r>
    </w:p>
    <w:p>
      <w:pPr>
        <w:spacing w:line="360" w:lineRule="auto" w:after="120"/>
        <w:ind w:firstLine="480"/>
      </w:pPr>
      <w:r>
        <w:rPr>
          <w:rFonts w:ascii="Times New Roman" w:hAnsi="Times New Roman" w:eastAsia="宋体" w:cs="宋体"/>
          <w:sz w:val="24"/>
        </w:rPr>
        <w:t>PaddleOCR</w:t>
      </w:r>
      <w:r>
        <w:rPr>
          <w:rFonts w:ascii="Times New Roman" w:hAnsi="Times New Roman" w:eastAsia="宋体" w:cs="宋体"/>
          <w:sz w:val="24"/>
          <w:vertAlign w:val="superscript"/>
        </w:rPr>
        <w:t>[1]</w:t>
      </w:r>
      <w:r>
        <w:rPr>
          <w:rFonts w:ascii="Times New Roman" w:hAnsi="Times New Roman" w:eastAsia="宋体" w:cs="宋体"/>
          <w:sz w:val="24"/>
        </w:rPr>
        <w:t>基于PaddlePaddle</w:t>
      </w:r>
      <w:r>
        <w:rPr>
          <w:rFonts w:ascii="Times New Roman" w:hAnsi="Times New Roman" w:eastAsia="宋体" w:cs="宋体"/>
          <w:sz w:val="24"/>
          <w:vertAlign w:val="superscript"/>
        </w:rPr>
        <w:t>[7]</w:t>
      </w:r>
      <w:r>
        <w:rPr>
          <w:rFonts w:ascii="Times New Roman" w:hAnsi="Times New Roman" w:eastAsia="宋体" w:cs="宋体"/>
          <w:sz w:val="24"/>
        </w:rPr>
        <w:t>提供面向中文优化的预训练权重与统一推理 API，并可选 use_angle_cls 启用角度分类，以缓解拍照倒置或 90° 旋转带来的识别崩溃。其返回结构在 2.x 与 3.x 之间存在差异：旧版以 list 嵌套 [box, (text, conf)] 为主，新版可能返回字典字段 rec_texts、rec_scores、rec_polys 等，工程上需做兼容封装以避免升级依赖后线上服务静默失败。</w:t>
      </w:r>
    </w:p>
    <w:p>
      <w:pPr>
        <w:spacing w:line="360" w:lineRule="auto" w:after="120"/>
        <w:ind w:firstLine="480"/>
      </w:pPr>
      <w:r>
        <w:rPr>
          <w:rFonts w:ascii="Times New Roman" w:hAnsi="Times New Roman" w:eastAsia="宋体" w:cs="宋体"/>
          <w:sz w:val="24"/>
        </w:rPr>
        <w:t>PaddleX</w:t>
      </w:r>
      <w:r>
        <w:rPr>
          <w:rFonts w:ascii="Times New Roman" w:hAnsi="Times New Roman" w:eastAsia="宋体" w:cs="宋体"/>
          <w:sz w:val="24"/>
          <w:vertAlign w:val="superscript"/>
        </w:rPr>
        <w:t>[2]</w:t>
      </w:r>
      <w:r>
        <w:rPr>
          <w:rFonts w:ascii="Times New Roman" w:hAnsi="Times New Roman" w:eastAsia="宋体" w:cs="宋体"/>
          <w:sz w:val="24"/>
        </w:rPr>
        <w:t>的 table_recognition 流水线将表格理解抽象为更高层的推理任务，可输出 HTML 表格或结构化单元格。相较轻量几何重建，其计算开销更大、对环境依赖更多，但在弱线表、非常规合并单元格或检测框严重缺失时，可作为兜底路径。本系统将其置于“得分不足再触发”的位置，体现“先快后稳”的资源权衡思想。</w:t>
      </w:r>
    </w:p>
    <w:p>
      <w:pPr>
        <w:spacing w:before="120" w:after="120"/>
      </w:pPr>
      <w:r>
        <w:rPr>
          <w:rFonts w:ascii="Times New Roman" w:hAnsi="Times New Roman" w:eastAsia="黑体" w:cs="黑体"/>
          <w:b/>
          <w:sz w:val="28"/>
        </w:rPr>
        <w:t>2.4　OpenCV 与经典文档图像处理</w:t>
      </w:r>
    </w:p>
    <w:p>
      <w:pPr>
        <w:spacing w:line="360" w:lineRule="auto" w:after="120"/>
        <w:ind w:firstLine="480"/>
      </w:pPr>
      <w:r>
        <w:rPr>
          <w:rFonts w:ascii="Times New Roman" w:hAnsi="Times New Roman" w:eastAsia="宋体" w:cs="宋体"/>
          <w:sz w:val="24"/>
        </w:rPr>
        <w:t>OpenCV</w:t>
      </w:r>
      <w:r>
        <w:rPr>
          <w:rFonts w:ascii="Times New Roman" w:hAnsi="Times New Roman" w:eastAsia="宋体" w:cs="宋体"/>
          <w:sz w:val="24"/>
          <w:vertAlign w:val="superscript"/>
        </w:rPr>
        <w:t>[6]</w:t>
      </w:r>
      <w:r>
        <w:rPr>
          <w:rFonts w:ascii="Times New Roman" w:hAnsi="Times New Roman" w:eastAsia="宋体" w:cs="宋体"/>
          <w:sz w:val="24"/>
        </w:rPr>
        <w:t>在颜色空间转换（BGR、HSV、LAB）、阈值与自适应阈值、形态学开闭运算、轮廓近似、Canny/Hough、仿射与透视变换等方面提供成熟实现。文档预处理中常见流程包括：去噪、对比度增强、倾斜校正、透视拉直与感兴趣区域（ROI）裁剪。本系统在白纸检测上组合 HSV 与 LAB 阈值以提取高亮纸张区域，并结合面积与宽高比约束抑制桌面背景；在表格线分析上采用二值化后分别腐蚀提取横竖线再融合，属于可解释、可调参的经典管线，便于针对本校成绩单样式做微调。</w:t>
      </w:r>
    </w:p>
    <w:p>
      <w:pPr>
        <w:spacing w:before="120" w:after="120"/>
      </w:pPr>
      <w:r>
        <w:rPr>
          <w:rFonts w:ascii="Times New Roman" w:hAnsi="Times New Roman" w:eastAsia="黑体" w:cs="黑体"/>
          <w:b/>
          <w:sz w:val="28"/>
        </w:rPr>
        <w:t>2.5　Web 服务、序列化与 Excel 导出</w:t>
      </w:r>
    </w:p>
    <w:p>
      <w:pPr>
        <w:spacing w:line="360" w:lineRule="auto" w:after="120"/>
        <w:ind w:firstLine="480"/>
      </w:pPr>
      <w:r>
        <w:rPr>
          <w:rFonts w:ascii="Times New Roman" w:hAnsi="Times New Roman" w:eastAsia="宋体" w:cs="宋体"/>
          <w:sz w:val="24"/>
        </w:rPr>
        <w:t>FastAPI 与 Uvicorn 构成常用的异步 Web 部署组合</w:t>
      </w:r>
      <w:r>
        <w:rPr>
          <w:rFonts w:ascii="Times New Roman" w:hAnsi="Times New Roman" w:eastAsia="宋体" w:cs="宋体"/>
          <w:sz w:val="24"/>
          <w:vertAlign w:val="superscript"/>
        </w:rPr>
        <w:t>[4]</w:t>
      </w:r>
      <w:r>
        <w:rPr>
          <w:rFonts w:ascii="Times New Roman" w:hAnsi="Times New Roman" w:eastAsia="宋体" w:cs="宋体"/>
          <w:sz w:val="24"/>
        </w:rPr>
        <w:t>：前者基于类型注解自动生成 OpenAPI 文档并原生支持 async/await，适合 I/O 密集的上传解析场景；后者作为 ASGI 服务器提供高性能事件循环。前后端以 JSON 作为交换格式，可嵌套 headers、rows、meta、每格 confidences 与多边形 points 字段，兼顾机器处理与人的可视化校对。</w:t>
      </w:r>
    </w:p>
    <w:p>
      <w:pPr>
        <w:spacing w:line="360" w:lineRule="auto" w:after="120"/>
        <w:ind w:firstLine="480"/>
      </w:pPr>
      <w:r>
        <w:rPr>
          <w:rFonts w:ascii="Times New Roman" w:hAnsi="Times New Roman" w:eastAsia="宋体" w:cs="宋体"/>
          <w:sz w:val="24"/>
        </w:rPr>
        <w:t>Excel 导出选用 openpyxl</w:t>
      </w:r>
      <w:r>
        <w:rPr>
          <w:rFonts w:ascii="Times New Roman" w:hAnsi="Times New Roman" w:eastAsia="宋体" w:cs="宋体"/>
          <w:sz w:val="24"/>
          <w:vertAlign w:val="superscript"/>
        </w:rPr>
        <w:t>[10]</w:t>
      </w:r>
      <w:r>
        <w:rPr>
          <w:rFonts w:ascii="Times New Roman" w:hAnsi="Times New Roman" w:eastAsia="宋体" w:cs="宋体"/>
          <w:sz w:val="24"/>
        </w:rPr>
        <w:t>：相较 CSV，xlsx 支持列宽、冻结窗格、自动筛选与简单表样式，更贴近教务人员使用习惯。导出接口与识别接口解耦，使前端可在人工修正表格后再提交，避免“识别即落库”的刚性流程。</w:t>
      </w:r>
    </w:p>
    <w:p>
      <w:pPr>
        <w:spacing w:before="120" w:after="120"/>
      </w:pPr>
      <w:r>
        <w:rPr>
          <w:rFonts w:ascii="Times New Roman" w:hAnsi="Times New Roman" w:eastAsia="黑体" w:cs="黑体"/>
          <w:b/>
          <w:sz w:val="28"/>
        </w:rPr>
        <w:t>2.6　评测指标与实验设计原则</w:t>
      </w:r>
    </w:p>
    <w:p>
      <w:pPr>
        <w:spacing w:line="360" w:lineRule="auto" w:after="120"/>
        <w:ind w:firstLine="480"/>
      </w:pPr>
      <w:r>
        <w:rPr>
          <w:rFonts w:ascii="Times New Roman" w:hAnsi="Times New Roman" w:eastAsia="宋体" w:cs="宋体"/>
          <w:sz w:val="24"/>
        </w:rPr>
        <w:t>除字符级错误率（CER）外，表格类任务更关心单元格级准确率、表头对齐率、整表可导入率以及端到端耗时。由于真实成绩单涉及隐私，公开数据集稀缺，论文实验可采用“自建脱敏样本 + 合成扰动（旋转、噪声、压缩）”的方式构造对照。同时应报告失败样例类型（强反光、折痕、手写覆盖等），避免只给出乐观均值而缺乏可复现细节。</w:t>
      </w:r>
    </w:p>
    <w:p>
      <w:pPr>
        <w:spacing w:before="240" w:after="120"/>
      </w:pPr>
      <w:r>
        <w:rPr>
          <w:rFonts w:ascii="Times New Roman" w:hAnsi="Times New Roman" w:eastAsia="黑体" w:cs="黑体"/>
          <w:b/>
          <w:sz w:val="32"/>
        </w:rPr>
        <w:t>第3章　系统需求分析与总体设计</w:t>
      </w:r>
    </w:p>
    <w:p>
      <w:pPr>
        <w:spacing w:before="120" w:after="120"/>
      </w:pPr>
      <w:r>
        <w:rPr>
          <w:rFonts w:ascii="Times New Roman" w:hAnsi="Times New Roman" w:eastAsia="黑体" w:cs="黑体"/>
          <w:b/>
          <w:sz w:val="28"/>
        </w:rPr>
        <w:t>3.1　角色、场景与业务流程</w:t>
      </w:r>
    </w:p>
    <w:p>
      <w:pPr>
        <w:spacing w:line="360" w:lineRule="auto" w:after="120"/>
        <w:ind w:firstLine="480"/>
      </w:pPr>
      <w:r>
        <w:rPr>
          <w:rFonts w:ascii="Times New Roman" w:hAnsi="Times New Roman" w:eastAsia="宋体" w:cs="宋体"/>
          <w:sz w:val="24"/>
        </w:rPr>
        <w:t>主要用户可抽象为教务管理员、辅导员与任课教师：其共同需求是将微信群、邮箱或纸质材料中的成绩单图片尽快转为可统计的电子表。典型业务流程为：选择文件上传 → 等待服务端解析 → 在网页上核对表头与成绩 → 必要时点击单元格对照原图高亮 → 确认后导出 Excel → 在教务或统计软件中二次处理。</w:t>
      </w:r>
    </w:p>
    <w:p>
      <w:pPr>
        <w:spacing w:line="360" w:lineRule="auto" w:after="120"/>
        <w:ind w:firstLine="480"/>
      </w:pPr>
      <w:r>
        <w:rPr>
          <w:rFonts w:ascii="Times New Roman" w:hAnsi="Times New Roman" w:eastAsia="宋体" w:cs="宋体"/>
          <w:sz w:val="24"/>
        </w:rPr>
        <w:t>输入形态包括：教务系统截图（列对齐好、噪声小）、手机斜拍纸质表（透视明显）、扫描件转 PNG（可能存在轻微倾斜与黑边）、以及已数字化的 XLSX（应直通读取避免重复 OCR）。系统需在入口根据扩展名与魔数区分路由，并对不支持的格式给出明确错误提示，减少无效等待。</w:t>
      </w:r>
    </w:p>
    <w:p>
      <w:pPr>
        <w:spacing w:before="120" w:after="120"/>
      </w:pPr>
      <w:r>
        <w:rPr>
          <w:rFonts w:ascii="Times New Roman" w:hAnsi="Times New Roman" w:eastAsia="黑体" w:cs="黑体"/>
          <w:b/>
          <w:sz w:val="28"/>
        </w:rPr>
        <w:t>3.2　功能需求详述</w:t>
      </w:r>
    </w:p>
    <w:p>
      <w:pPr>
        <w:spacing w:line="360" w:lineRule="auto" w:after="120"/>
        <w:ind w:firstLine="480"/>
      </w:pPr>
      <w:r>
        <w:rPr>
          <w:rFonts w:ascii="Times New Roman" w:hAnsi="Times New Roman" w:eastAsia="宋体" w:cs="宋体"/>
          <w:sz w:val="24"/>
        </w:rPr>
        <w:t>（1）图像类输入：支持 PNG/JPG 解码，完成预处理、OCR、表格恢复与结构化输出；（2）矢量与电子表：SVG 优先解析 text 节点，失败则栅格化后走图像链路；XLSX 直接读取单元格矩阵并包装为与 OCR 结果一致的 JSON，便于前端复用表格组件。（3）元信息：自动抽取标题、姓名、学号、班级、学院、学期等键值对，允许缺失。（4）交互：双预览模式（原图反投影 / 预处理图）下的多边形高亮；右侧表格可编辑。（5）导出：将当前表格写入 xlsx 并返回下载链接。</w:t>
      </w:r>
    </w:p>
    <w:p>
      <w:pPr>
        <w:spacing w:line="360" w:lineRule="auto" w:after="120"/>
        <w:ind w:firstLine="480"/>
      </w:pPr>
      <w:r>
        <w:rPr>
          <w:rFonts w:ascii="Times New Roman" w:hAnsi="Times New Roman" w:eastAsia="宋体" w:cs="宋体"/>
          <w:sz w:val="24"/>
        </w:rPr>
        <w:t>功能优先级上，识别准确率与结构稳定性优先于极致速度；但在 CPU 部署约束下，仍需避免无条件调用重型表格模型，故采用多路径与早停策略。</w:t>
      </w:r>
    </w:p>
    <w:p>
      <w:pPr>
        <w:spacing w:before="120" w:after="120"/>
      </w:pPr>
      <w:r>
        <w:rPr>
          <w:rFonts w:ascii="Times New Roman" w:hAnsi="Times New Roman" w:eastAsia="黑体" w:cs="黑体"/>
          <w:b/>
          <w:sz w:val="28"/>
        </w:rPr>
        <w:t>3.3　非功能需求与约束</w:t>
      </w:r>
    </w:p>
    <w:p>
      <w:pPr>
        <w:spacing w:line="360" w:lineRule="auto" w:after="120"/>
        <w:ind w:firstLine="480"/>
      </w:pPr>
      <w:r>
        <w:rPr>
          <w:rFonts w:ascii="Times New Roman" w:hAnsi="Times New Roman" w:eastAsia="宋体" w:cs="宋体"/>
          <w:sz w:val="24"/>
        </w:rPr>
        <w:t>性能方面：在主流笔记本 CPU 上，单张常见分辨率成绩单的处理时间应控制在可接受范围（具体阈值可由学校机房环境标定），且不应出现无限阻塞。可靠性方面：单张失败不得拖垮进程；异常应记录为 HTTP 500 并携带可读 detail。可维护性方面：核心服务类具备单元测试；依赖版本写入 requirements.txt。兼容性方面：支持PaddleOCR</w:t>
      </w:r>
      <w:r>
        <w:rPr>
          <w:rFonts w:ascii="Times New Roman" w:hAnsi="Times New Roman" w:eastAsia="宋体" w:cs="宋体"/>
          <w:sz w:val="24"/>
          <w:vertAlign w:val="superscript"/>
        </w:rPr>
        <w:t>[1]</w:t>
      </w:r>
      <w:r>
        <w:rPr>
          <w:rFonts w:ascii="Times New Roman" w:hAnsi="Times New Roman" w:eastAsia="宋体" w:cs="宋体"/>
          <w:sz w:val="24"/>
        </w:rPr>
        <w:t>多版本参数差异；支持 Windows 10/11 与 Chrome/Edge 浏览器。</w:t>
      </w:r>
    </w:p>
    <w:p>
      <w:pPr>
        <w:spacing w:before="120" w:after="120"/>
      </w:pPr>
      <w:r>
        <w:rPr>
          <w:rFonts w:ascii="Times New Roman" w:hAnsi="Times New Roman" w:eastAsia="黑体" w:cs="黑体"/>
          <w:b/>
          <w:sz w:val="28"/>
        </w:rPr>
        <w:t>3.4　总体架构与模块划分</w:t>
      </w:r>
    </w:p>
    <w:p>
      <w:pPr>
        <w:spacing w:line="360" w:lineRule="auto" w:after="120"/>
        <w:ind w:firstLine="480"/>
      </w:pPr>
      <w:r>
        <w:rPr>
          <w:rFonts w:ascii="Times New Roman" w:hAnsi="Times New Roman" w:eastAsia="宋体" w:cs="宋体"/>
          <w:sz w:val="24"/>
        </w:rPr>
        <w:t>系统采用浏览器/服务器（B/S）结构：表现层为静态 HTML/CSS/JS；应用层为 FastAPI 路由与中间件（含 CORS）；领域层由 OCRService、FileParserService、ExcelService 组成；基础设施层包括PaddleOCR</w:t>
      </w:r>
      <w:r>
        <w:rPr>
          <w:rFonts w:ascii="Times New Roman" w:hAnsi="Times New Roman" w:eastAsia="宋体" w:cs="宋体"/>
          <w:sz w:val="24"/>
          <w:vertAlign w:val="superscript"/>
        </w:rPr>
        <w:t>[1]</w:t>
      </w:r>
      <w:r>
        <w:rPr>
          <w:rFonts w:ascii="Times New Roman" w:hAnsi="Times New Roman" w:eastAsia="宋体" w:cs="宋体"/>
          <w:sz w:val="24"/>
        </w:rPr>
        <w:t>/PaddleX</w:t>
      </w:r>
      <w:r>
        <w:rPr>
          <w:rFonts w:ascii="Times New Roman" w:hAnsi="Times New Roman" w:eastAsia="宋体" w:cs="宋体"/>
          <w:sz w:val="24"/>
          <w:vertAlign w:val="superscript"/>
        </w:rPr>
        <w:t>[2]</w:t>
      </w:r>
      <w:r>
        <w:rPr>
          <w:rFonts w:ascii="Times New Roman" w:hAnsi="Times New Roman" w:eastAsia="宋体" w:cs="宋体"/>
          <w:sz w:val="24"/>
        </w:rPr>
        <w:t>推理运行时、OpenCV</w:t>
      </w:r>
      <w:r>
        <w:rPr>
          <w:rFonts w:ascii="Times New Roman" w:hAnsi="Times New Roman" w:eastAsia="宋体" w:cs="宋体"/>
          <w:sz w:val="24"/>
          <w:vertAlign w:val="superscript"/>
        </w:rPr>
        <w:t>[6]</w:t>
      </w:r>
      <w:r>
        <w:rPr>
          <w:rFonts w:ascii="Times New Roman" w:hAnsi="Times New Roman" w:eastAsia="宋体" w:cs="宋体"/>
          <w:sz w:val="24"/>
        </w:rPr>
        <w:t>与文件系统。静态资源通过 mount 暴露，导出目录单独挂载为 /downloads，实现读解析与写导出的路径隔离。</w:t>
      </w:r>
    </w:p>
    <w:p>
      <w:pPr>
        <w:spacing w:line="360" w:lineRule="auto" w:after="120"/>
        <w:ind w:firstLine="480"/>
      </w:pPr>
      <w:r>
        <w:rPr>
          <w:rFonts w:ascii="Times New Roman" w:hAnsi="Times New Roman" w:eastAsia="宋体" w:cs="宋体"/>
          <w:sz w:val="24"/>
        </w:rPr>
        <w:t>模块边界上，OCRService 专注“图像进、检测框与表格矩阵出”；FileParserService 负责类型分派、业务字段解析与 JSON 组装；ExcelService 专注工作簿样式与写入。这种划分有利于单元测试按模块 stub 依赖，也便于将来替换 OCR 引擎而少改上层逻辑。</w:t>
      </w:r>
    </w:p>
    <w:p>
      <w:pPr>
        <w:spacing w:before="120" w:after="120"/>
      </w:pPr>
      <w:r>
        <w:rPr>
          <w:rFonts w:ascii="Times New Roman" w:hAnsi="Times New Roman" w:eastAsia="黑体" w:cs="黑体"/>
          <w:b/>
          <w:sz w:val="28"/>
        </w:rPr>
        <w:t>3.5　接口、数据模型与错误处理</w:t>
      </w:r>
    </w:p>
    <w:p>
      <w:pPr>
        <w:spacing w:line="360" w:lineRule="auto" w:after="120"/>
        <w:ind w:firstLine="480"/>
      </w:pPr>
      <w:r>
        <w:rPr>
          <w:rFonts w:ascii="Times New Roman" w:hAnsi="Times New Roman" w:eastAsia="宋体" w:cs="宋体"/>
          <w:sz w:val="24"/>
        </w:rPr>
        <w:t>POST /upload 接受 multipart/form-data，字段名为 file；成功时返回 application/json，包含 headers、rows、meta、可选 title、processed_preview 与每行每列的坐标信息。POST /export 接受 JSON body，校验 headers 为字符串数组、rows 为对象数组，否则返回 400。GET /health 返回 {"status":"ok"} 供运维探活。</w:t>
      </w:r>
    </w:p>
    <w:p>
      <w:pPr>
        <w:spacing w:line="360" w:lineRule="auto" w:after="120"/>
        <w:ind w:firstLine="480"/>
      </w:pPr>
      <w:r>
        <w:rPr>
          <w:rFonts w:ascii="Times New Roman" w:hAnsi="Times New Roman" w:eastAsia="宋体" w:cs="宋体"/>
          <w:sz w:val="24"/>
        </w:rPr>
        <w:t>错误处理遵循：输入为空 → 400；类型不支持 → 400 并列出允许扩展名；解析内部异常 → 500 且 detail 含异常信息（生产环境可再收敛日志粒度）。该策略与FastAPI</w:t>
      </w:r>
      <w:r>
        <w:rPr>
          <w:rFonts w:ascii="Times New Roman" w:hAnsi="Times New Roman" w:eastAsia="宋体" w:cs="宋体"/>
          <w:sz w:val="24"/>
          <w:vertAlign w:val="superscript"/>
        </w:rPr>
        <w:t>[4]</w:t>
      </w:r>
      <w:r>
        <w:rPr>
          <w:rFonts w:ascii="Times New Roman" w:hAnsi="Times New Roman" w:eastAsia="宋体" w:cs="宋体"/>
          <w:sz w:val="24"/>
        </w:rPr>
        <w:t>的 HTTPException 机制一致，前端可用统一 toast 呈现。</w:t>
      </w:r>
    </w:p>
    <w:p>
      <w:pPr>
        <w:spacing w:before="120" w:after="120"/>
      </w:pPr>
      <w:r>
        <w:rPr>
          <w:rFonts w:ascii="Times New Roman" w:hAnsi="Times New Roman" w:eastAsia="黑体" w:cs="黑体"/>
          <w:b/>
          <w:sz w:val="28"/>
        </w:rPr>
        <w:t>3.6　数据流、部署与安全边界</w:t>
      </w:r>
    </w:p>
    <w:p>
      <w:pPr>
        <w:spacing w:line="360" w:lineRule="auto" w:after="120"/>
        <w:ind w:firstLine="480"/>
      </w:pPr>
      <w:r>
        <w:rPr>
          <w:rFonts w:ascii="Times New Roman" w:hAnsi="Times New Roman" w:eastAsia="宋体" w:cs="宋体"/>
          <w:sz w:val="24"/>
        </w:rPr>
        <w:t>数据流上，上传字节仅在内存中解码与推理，不落盘原始隐私图像；processed_preview 以 Base64 内嵌响应，应注意体积对网关超时时间的影响，必要时可改为对象存储 URL。导出文件写入服务器 exports 目录，应配置定期清理或容量阈值，防止磁盘占满。安全上，本课程设计默认内网部署；若公网暴露，需增加鉴权、限流与 HTTPS。</w:t>
      </w:r>
    </w:p>
    <w:p>
      <w:pPr>
        <w:spacing w:before="240" w:after="120"/>
      </w:pPr>
      <w:r>
        <w:rPr>
          <w:rFonts w:ascii="Times New Roman" w:hAnsi="Times New Roman" w:eastAsia="黑体" w:cs="黑体"/>
          <w:b/>
          <w:sz w:val="32"/>
        </w:rPr>
        <w:t>第4章　图像预处理与 OCR 模块设计</w:t>
      </w:r>
    </w:p>
    <w:p>
      <w:pPr>
        <w:spacing w:before="120" w:after="120"/>
      </w:pPr>
      <w:r>
        <w:rPr>
          <w:rFonts w:ascii="Times New Roman" w:hAnsi="Times New Roman" w:eastAsia="黑体" w:cs="黑体"/>
          <w:b/>
          <w:sz w:val="28"/>
        </w:rPr>
        <w:t>4.1　图像表示、解码与调试输出</w:t>
      </w:r>
    </w:p>
    <w:p>
      <w:pPr>
        <w:spacing w:line="360" w:lineRule="auto" w:after="120"/>
        <w:ind w:firstLine="480"/>
      </w:pPr>
      <w:r>
        <w:rPr>
          <w:rFonts w:ascii="Times New Roman" w:hAnsi="Times New Roman" w:eastAsia="宋体" w:cs="宋体"/>
          <w:sz w:val="24"/>
        </w:rPr>
        <w:t>系统内部统一使用OpenCV</w:t>
      </w:r>
      <w:r>
        <w:rPr>
          <w:rFonts w:ascii="Times New Roman" w:hAnsi="Times New Roman" w:eastAsia="宋体" w:cs="宋体"/>
          <w:sz w:val="24"/>
          <w:vertAlign w:val="superscript"/>
        </w:rPr>
        <w:t>[6]</w:t>
      </w:r>
      <w:r>
        <w:rPr>
          <w:rFonts w:ascii="Times New Roman" w:hAnsi="Times New Roman" w:eastAsia="宋体" w:cs="宋体"/>
          <w:sz w:val="24"/>
        </w:rPr>
        <w:t>的 BGR uint8 ndarray 表示彩色图。decode_image 将上传字节经 np.frombuffer 与 cv2.imdecode 解码，对无法解码的文件抛出明确 ValueError，由上层转换为 HTTP 错误信息。带 alpha 的 PNG 在后续归一化中单独保留透明通道，以便在“截图类透明背景”场景下跳过易引入误差的透视校正分支。</w:t>
      </w:r>
    </w:p>
    <w:p>
      <w:pPr>
        <w:spacing w:line="360" w:lineRule="auto" w:after="120"/>
        <w:ind w:firstLine="480"/>
      </w:pPr>
      <w:r>
        <w:rPr>
          <w:rFonts w:ascii="Times New Roman" w:hAnsi="Times New Roman" w:eastAsia="宋体" w:cs="宋体"/>
          <w:sz w:val="24"/>
        </w:rPr>
        <w:t>从直观角度理解，一张图像是按二维网格排列的彩色像素点阵；OpenCV 提供读图、缩放、色彩与几何变换、阈值与形态学等算子，不改变“文字语义由深度学习模型推断”的总体分工，但负责成像链路中可解释、低成本的一段：例如用透视变换把斜拍纸张拉成近似矩形、用阈值与形态学突出表格线、用旋转抵消小幅倾斜，使笔画在像素层面更分离、对比更强，后续检测与识别更容易对齐行向与笔画边缘。</w:t>
      </w:r>
    </w:p>
    <w:p>
      <w:pPr>
        <w:spacing w:line="360" w:lineRule="auto" w:after="120"/>
        <w:ind w:firstLine="480"/>
      </w:pPr>
      <w:r>
        <w:rPr>
          <w:rFonts w:ascii="Times New Roman" w:hAnsi="Times New Roman" w:eastAsia="宋体" w:cs="宋体"/>
          <w:sz w:val="24"/>
        </w:rPr>
        <w:t>debug_preprocess 将归一化、透视、纠偏、裁切、增强及表格二值化等中间结果分别导出，便于对照观察“哪一步开始劣化”，亦便于论文与答辩直接引用。以下插图由仓库脚本 tools/build_thesis_case_figures.py 对固定案例自动生成，插入位置为：紧随本小节对 debug_preprocess 的说明之后。</w:t>
      </w:r>
    </w:p>
    <w:p/>
    <w:p>
      <w:pPr>
        <w:jc w:val="center"/>
      </w:pPr>
      <w:r>
        <w:drawing>
          <wp:inline xmlns:a="http://schemas.openxmlformats.org/drawingml/2006/main" xmlns:pic="http://schemas.openxmlformats.org/drawingml/2006/picture">
            <wp:extent cx="4937760" cy="1698983"/>
            <wp:docPr id="1" name="Picture 1"/>
            <wp:cNvGraphicFramePr>
              <a:graphicFrameLocks noChangeAspect="1"/>
            </wp:cNvGraphicFramePr>
            <a:graphic>
              <a:graphicData uri="http://schemas.openxmlformats.org/drawingml/2006/picture">
                <pic:pic>
                  <pic:nvPicPr>
                    <pic:cNvPr id="0" name="compare_before_after_enhanced.png"/>
                    <pic:cNvPicPr/>
                  </pic:nvPicPr>
                  <pic:blipFill>
                    <a:blip r:embed="rId9"/>
                    <a:stretch>
                      <a:fillRect/>
                    </a:stretch>
                  </pic:blipFill>
                  <pic:spPr>
                    <a:xfrm>
                      <a:off x="0" y="0"/>
                      <a:ext cx="4937760" cy="1698983"/>
                    </a:xfrm>
                    <a:prstGeom prst="rect"/>
                  </pic:spPr>
                </pic:pic>
              </a:graphicData>
            </a:graphic>
          </wp:inline>
        </w:drawing>
      </w:r>
    </w:p>
    <w:p>
      <w:pPr>
        <w:jc w:val="center"/>
      </w:pPr>
      <w:r>
        <w:rPr>
          <w:rFonts w:ascii="Times New Roman" w:hAnsi="Times New Roman" w:eastAsia="宋体" w:cs="宋体"/>
          <w:sz w:val="21"/>
        </w:rPr>
        <w:t>图4-1　预处理前后对比（左：解码原图；右：debug_preprocess 流水线末端增强结果）</w:t>
      </w:r>
    </w:p>
    <w:p>
      <w:pPr>
        <w:spacing w:line="360" w:lineRule="auto" w:after="120"/>
        <w:ind w:firstLine="480"/>
      </w:pPr>
      <w:r>
        <w:rPr>
          <w:rFonts w:ascii="Times New Roman" w:hAnsi="Times New Roman" w:eastAsia="宋体" w:cs="宋体"/>
          <w:sz w:val="24"/>
        </w:rPr>
        <w:t>图4-2 为各主要阶段的纵向缩略拼图（宽度已缩小，仅作流程示意），建议紧接图4-1 之后插入，并与 4.2—4.6 节的分步说明交叉对照阅读。</w:t>
      </w:r>
    </w:p>
    <w:p/>
    <w:p>
      <w:pPr>
        <w:jc w:val="center"/>
      </w:pPr>
      <w:r>
        <w:drawing>
          <wp:inline xmlns:a="http://schemas.openxmlformats.org/drawingml/2006/main" xmlns:pic="http://schemas.openxmlformats.org/drawingml/2006/picture">
            <wp:extent cx="4480560" cy="20904613"/>
            <wp:docPr id="2" name="Picture 2"/>
            <wp:cNvGraphicFramePr>
              <a:graphicFrameLocks noChangeAspect="1"/>
            </wp:cNvGraphicFramePr>
            <a:graphic>
              <a:graphicData uri="http://schemas.openxmlformats.org/drawingml/2006/picture">
                <pic:pic>
                  <pic:nvPicPr>
                    <pic:cNvPr id="0" name="montage_all_stages.png"/>
                    <pic:cNvPicPr/>
                  </pic:nvPicPr>
                  <pic:blipFill>
                    <a:blip r:embed="rId10"/>
                    <a:stretch>
                      <a:fillRect/>
                    </a:stretch>
                  </pic:blipFill>
                  <pic:spPr>
                    <a:xfrm>
                      <a:off x="0" y="0"/>
                      <a:ext cx="4480560" cy="20904613"/>
                    </a:xfrm>
                    <a:prstGeom prst="rect"/>
                  </pic:spPr>
                </pic:pic>
              </a:graphicData>
            </a:graphic>
          </wp:inline>
        </w:drawing>
      </w:r>
    </w:p>
    <w:p>
      <w:pPr>
        <w:jc w:val="center"/>
      </w:pPr>
      <w:r>
        <w:rPr>
          <w:rFonts w:ascii="Times New Roman" w:hAnsi="Times New Roman" w:eastAsia="宋体" w:cs="宋体"/>
          <w:sz w:val="21"/>
        </w:rPr>
        <w:t>图4-2　预处理各阶段缩略拼图（含归一化、透视、纠偏、裁切、增强等）</w:t>
      </w:r>
    </w:p>
    <w:p>
      <w:pPr>
        <w:spacing w:before="120" w:after="120"/>
      </w:pPr>
      <w:r>
        <w:rPr>
          <w:rFonts w:ascii="Times New Roman" w:hAnsi="Times New Roman" w:eastAsia="黑体" w:cs="黑体"/>
          <w:b/>
          <w:sz w:val="28"/>
        </w:rPr>
        <w:t>4.2　输入归一化与透明通道处理</w:t>
      </w:r>
    </w:p>
    <w:p>
      <w:pPr>
        <w:spacing w:line="360" w:lineRule="auto" w:after="120"/>
        <w:ind w:firstLine="480"/>
      </w:pPr>
      <w:r>
        <w:rPr>
          <w:rFonts w:ascii="Times New Roman" w:hAnsi="Times New Roman" w:eastAsia="宋体" w:cs="宋体"/>
          <w:sz w:val="24"/>
        </w:rPr>
        <w:t>_normalize_input_image 负责灰度转三通道、以及将 BGRA 合成白底，避免透明区域在二值化中被误判为黑块。对截图类素材，合成白底可显著提升后续阈值分割与 OCR 对比度稳定性。</w:t>
      </w:r>
    </w:p>
    <w:p>
      <w:pPr>
        <w:spacing w:line="360" w:lineRule="auto" w:after="120"/>
        <w:ind w:firstLine="480"/>
      </w:pPr>
      <w:r>
        <w:rPr>
          <w:rFonts w:ascii="Times New Roman" w:hAnsi="Times New Roman" w:eastAsia="宋体" w:cs="宋体"/>
          <w:sz w:val="24"/>
        </w:rPr>
        <w:t>小图增强策略通过最小边长、白边 padding 与缩放系数控制：小分辨率截图中笔画覆盖像素过少，检测框易漂移，适度放大等价于提高输入 DPI，是成本极低、收益常显著的工程技巧。</w:t>
      </w:r>
    </w:p>
    <w:p>
      <w:pPr>
        <w:spacing w:before="120" w:after="120"/>
      </w:pPr>
      <w:r>
        <w:rPr>
          <w:rFonts w:ascii="Times New Roman" w:hAnsi="Times New Roman" w:eastAsia="黑体" w:cs="黑体"/>
          <w:b/>
          <w:sz w:val="28"/>
        </w:rPr>
        <w:t>4.3　白纸区域检测与主体裁切</w:t>
      </w:r>
    </w:p>
    <w:p>
      <w:pPr>
        <w:spacing w:line="360" w:lineRule="auto" w:after="120"/>
        <w:ind w:firstLine="480"/>
      </w:pPr>
      <w:r>
        <w:rPr>
          <w:rFonts w:ascii="Times New Roman" w:hAnsi="Times New Roman" w:eastAsia="宋体" w:cs="宋体"/>
          <w:sz w:val="24"/>
        </w:rPr>
        <w:t>当输入为办公桌木纹背景上的拍照成绩单时，整图直接 OCR 会引入大量无关检测框。系统先用 HSV 与 LAB 组合阈值提取偏亮区域，辅以形态学开闭运算去噪，再在轮廓集合中选择面积与矩形度符合“纸张”假设的外接矩形，得到 crop_bbox。裁切后更新齐次矩阵 forward_matrix，使后续所有框可通过 inverse_matrix 映射回原图，为高亮联动提供几何一致性。</w:t>
      </w:r>
    </w:p>
    <w:p>
      <w:pPr>
        <w:spacing w:before="120" w:after="120"/>
      </w:pPr>
      <w:r>
        <w:rPr>
          <w:rFonts w:ascii="Times New Roman" w:hAnsi="Times New Roman" w:eastAsia="黑体" w:cs="黑体"/>
          <w:b/>
          <w:sz w:val="28"/>
        </w:rPr>
        <w:t>4.4　透视校正与几何变换矩阵</w:t>
      </w:r>
    </w:p>
    <w:p>
      <w:pPr>
        <w:spacing w:line="360" w:lineRule="auto" w:after="120"/>
        <w:ind w:firstLine="480"/>
      </w:pPr>
      <w:r>
        <w:rPr>
          <w:rFonts w:ascii="Times New Roman" w:hAnsi="Times New Roman" w:eastAsia="宋体" w:cs="宋体"/>
          <w:sz w:val="24"/>
        </w:rPr>
        <w:t>_detect_document_quad 在前景上寻找文档四边形，若成功则执行透视变换将梯形拉成近似矩形。对透明背景截图，算法上跳过透视步骤，以避免缺少真实纸缘时的虚假顶点估计。每一步几何操作均左乘到 3×3 变换矩阵，保证可逆；最终在上下文中返回 original_size 与 processed_size，供前端选择不同坐标系绘制。</w:t>
      </w:r>
    </w:p>
    <w:p>
      <w:pPr>
        <w:spacing w:before="120" w:after="120"/>
      </w:pPr>
      <w:r>
        <w:rPr>
          <w:rFonts w:ascii="Times New Roman" w:hAnsi="Times New Roman" w:eastAsia="黑体" w:cs="黑体"/>
          <w:b/>
          <w:sz w:val="28"/>
        </w:rPr>
        <w:t>4.5　旋转纠偏与文档朝向</w:t>
      </w:r>
    </w:p>
    <w:p>
      <w:pPr>
        <w:spacing w:line="360" w:lineRule="auto" w:after="120"/>
        <w:ind w:firstLine="480"/>
      </w:pPr>
      <w:r>
        <w:rPr>
          <w:rFonts w:ascii="Times New Roman" w:hAnsi="Times New Roman" w:eastAsia="宋体" w:cs="宋体"/>
          <w:sz w:val="24"/>
        </w:rPr>
        <w:t>_deskew_rotate_with_matrix 在限定最大角度范围内估计倾斜角：优先利用纸面主方向；失败时退化到霍夫直线与投影方差最小化等经典策略。纠偏对表格线提取与 OCR 行顺序稳定性至关重要；但过大角度旋转会引入插值模糊，因此需与后续“表格 ROI 裁切”协同权衡。</w:t>
      </w:r>
    </w:p>
    <w:p>
      <w:pPr>
        <w:spacing w:before="120" w:after="120"/>
      </w:pPr>
      <w:r>
        <w:rPr>
          <w:rFonts w:ascii="Times New Roman" w:hAnsi="Times New Roman" w:eastAsia="黑体" w:cs="黑体"/>
          <w:b/>
          <w:sz w:val="28"/>
        </w:rPr>
        <w:t>4.6　表格与标题区域聚焦及小图增强</w:t>
      </w:r>
    </w:p>
    <w:p>
      <w:pPr>
        <w:spacing w:line="360" w:lineRule="auto" w:after="120"/>
        <w:ind w:firstLine="480"/>
      </w:pPr>
      <w:r>
        <w:rPr>
          <w:rFonts w:ascii="Times New Roman" w:hAnsi="Times New Roman" w:eastAsia="宋体" w:cs="宋体"/>
          <w:sz w:val="24"/>
        </w:rPr>
        <w:t>_crop_to_table_or_title_with_matrix 在整页图像中抑制大面积空白与页脚说明文字，使识别资源集中于成绩表主体。该步骤结合表格线候选与文字连通域分布估计内容区域，属于面向业务的启发式裁剪。随后 _enhance_for_ocr_with_matrix 可做对比度受限直方图均衡等增强，以缓解曝光不均。</w:t>
      </w:r>
    </w:p>
    <w:p>
      <w:pPr>
        <w:spacing w:before="120" w:after="120"/>
      </w:pPr>
      <w:r>
        <w:rPr>
          <w:rFonts w:ascii="Times New Roman" w:hAnsi="Times New Roman" w:eastAsia="黑体" w:cs="黑体"/>
          <w:b/>
          <w:sz w:val="28"/>
        </w:rPr>
        <w:t>4.7　OCR 调用封装、版本兼容与 recognize_text</w:t>
      </w:r>
    </w:p>
    <w:p>
      <w:pPr>
        <w:spacing w:line="360" w:lineRule="auto" w:after="120"/>
        <w:ind w:firstLine="480"/>
      </w:pPr>
      <w:r>
        <w:rPr>
          <w:rFonts w:ascii="Times New Roman" w:hAnsi="Times New Roman" w:eastAsia="宋体" w:cs="宋体"/>
          <w:sz w:val="24"/>
        </w:rPr>
        <w:t>recognize_text 在可选预处理后将图像送入PaddleOCR</w:t>
      </w:r>
      <w:r>
        <w:rPr>
          <w:rFonts w:ascii="Times New Roman" w:hAnsi="Times New Roman" w:eastAsia="宋体" w:cs="宋体"/>
          <w:sz w:val="24"/>
          <w:vertAlign w:val="superscript"/>
        </w:rPr>
        <w:t>[1]</w:t>
      </w:r>
      <w:r>
        <w:rPr>
          <w:rFonts w:ascii="Times New Roman" w:hAnsi="Times New Roman" w:eastAsia="宋体" w:cs="宋体"/>
          <w:sz w:val="24"/>
        </w:rPr>
        <w:t>，cls=True 启用角度分类；若版本不支持 cls 参数则捕获异常回退到无 cls 调用。对 3.x 字典式返回与 2.x 列表式返回分别解析，统一写入 OCRItem。</w:t>
      </w:r>
    </w:p>
    <w:p>
      <w:pPr>
        <w:spacing w:line="240" w:lineRule="auto" w:after="120"/>
        <w:ind w:left="240"/>
      </w:pPr>
      <w:r>
        <w:rPr>
          <w:rFonts w:ascii="Consolas" w:hAnsi="Consolas" w:eastAsia="宋体" w:cs="宋体"/>
          <w:sz w:val="19"/>
        </w:rPr>
        <w:t>def recognize_text(self, image_bgr: np.ndarray, *, preprocess: bool = True) -&gt; List[OCRItem]:</w:t>
        <w:br/>
        <w:t xml:space="preserve">    if preprocess:</w:t>
        <w:br/>
        <w:t xml:space="preserve">        image_bgr = self.preprocess_image(image_bgr)</w:t>
        <w:br/>
        <w:t xml:space="preserve">    ocr = self._get_ocr()</w:t>
        <w:br/>
        <w:t xml:space="preserve">    results = ocr.ocr(image_bgr, cls=True)</w:t>
        <w:br/>
        <w:t xml:space="preserve">    ...</w:t>
        <w:br/>
        <w:t xml:space="preserve">    items.append(OCRItem(text=text, confidence=conf, box=box_pts))</w:t>
        <w:br/>
        <w:t xml:space="preserve">    return items</w:t>
      </w:r>
    </w:p>
    <w:p>
      <w:pPr>
        <w:spacing w:line="360" w:lineRule="auto" w:after="120"/>
        <w:ind w:firstLine="480"/>
      </w:pPr>
      <w:r>
        <w:rPr>
          <w:rFonts w:ascii="Times New Roman" w:hAnsi="Times New Roman" w:eastAsia="宋体" w:cs="宋体"/>
          <w:sz w:val="24"/>
        </w:rPr>
        <w:t>_create_with_compat 通过正则解析 Unknown argument 并迭代剔除无效 kwargs，解决 PaddleOCR 升级后参数名变化带来的部署摩擦，对实验可复现性与课程设计评分中的“可运行性”尤为关键。</w:t>
      </w:r>
    </w:p>
    <w:p>
      <w:pPr>
        <w:spacing w:line="240" w:lineRule="auto" w:after="120"/>
        <w:ind w:left="240"/>
      </w:pPr>
      <w:r>
        <w:rPr>
          <w:rFonts w:ascii="Consolas" w:hAnsi="Consolas" w:eastAsia="宋体" w:cs="宋体"/>
          <w:sz w:val="19"/>
        </w:rPr>
        <w:t>def _create_with_compat(factory, kwargs: Dict[str, Any]):</w:t>
        <w:br/>
        <w:t xml:space="preserve">    k = dict(kwargs)</w:t>
        <w:br/>
        <w:t xml:space="preserve">    for _ in range(20):</w:t>
        <w:br/>
        <w:t xml:space="preserve">        try:</w:t>
        <w:br/>
        <w:t xml:space="preserve">            return factory(**k)</w:t>
        <w:br/>
        <w:t xml:space="preserve">        except Exception as e:</w:t>
        <w:br/>
        <w:t xml:space="preserve">            m = re.search(r"Unknown argument:\s*([A-Za-z_][A-Za-z0-9_]*)", str(e))</w:t>
        <w:br/>
        <w:t xml:space="preserve">            if m and m.group(1) in k:</w:t>
        <w:br/>
        <w:t xml:space="preserve">                k.pop(m.group(1), None)</w:t>
        <w:br/>
        <w:t xml:space="preserve">                continue</w:t>
        <w:br/>
        <w:t xml:space="preserve">            raise</w:t>
      </w:r>
    </w:p>
    <w:p>
      <w:pPr>
        <w:spacing w:before="120" w:after="120"/>
      </w:pPr>
      <w:r>
        <w:rPr>
          <w:rFonts w:ascii="Times New Roman" w:hAnsi="Times New Roman" w:eastAsia="黑体" w:cs="黑体"/>
          <w:b/>
          <w:sz w:val="24"/>
        </w:rPr>
        <w:t>4.7.1　PaddleOCR 模型角色与工作原理（简释）</w:t>
      </w:r>
    </w:p>
    <w:p>
      <w:pPr>
        <w:spacing w:line="360" w:lineRule="auto" w:after="120"/>
        <w:ind w:firstLine="480"/>
      </w:pPr>
      <w:r>
        <w:rPr>
          <w:rFonts w:ascii="Times New Roman" w:hAnsi="Times New Roman" w:eastAsia="宋体" w:cs="宋体"/>
          <w:sz w:val="24"/>
        </w:rPr>
        <w:t>工程上可将 PaddleOCR</w:t>
      </w:r>
      <w:r>
        <w:rPr>
          <w:rFonts w:ascii="Times New Roman" w:hAnsi="Times New Roman" w:eastAsia="宋体" w:cs="宋体"/>
          <w:sz w:val="24"/>
          <w:vertAlign w:val="superscript"/>
        </w:rPr>
        <w:t>[1]</w:t>
      </w:r>
      <w:r>
        <w:rPr>
          <w:rFonts w:ascii="Times New Roman" w:hAnsi="Times New Roman" w:eastAsia="宋体" w:cs="宋体"/>
          <w:sz w:val="24"/>
        </w:rPr>
        <w:t xml:space="preserve"> 视作“检测 + 识别 +（可选）方向分类”的组合流水线：检测模型在整图上预测文字区域的位置与轮廓，相当于回答“字在哪儿”；识别模型再对每个文字条带做序列推断，相当于回答“这些像素排成什么字符串”。检测侧常见思路包括基于分割图的可微二值化（Differentiable Binarization，DB）等，以兼顾速度与轮廓质量；识别侧多采用卷积特征提取配合序列解码（如 CTC），把二维文字条带转为一维特征序列再输出字符或子词。</w:t>
      </w:r>
    </w:p>
    <w:p>
      <w:pPr>
        <w:spacing w:line="360" w:lineRule="auto" w:after="120"/>
        <w:ind w:firstLine="480"/>
      </w:pPr>
      <w:r>
        <w:rPr>
          <w:rFonts w:ascii="Times New Roman" w:hAnsi="Times New Roman" w:eastAsia="宋体" w:cs="宋体"/>
          <w:sz w:val="24"/>
        </w:rPr>
        <w:t>本系统在 recognize_text 中启用 cls=True 时，由角度分类器判断行是否倒置，可减少整行 180° 颠倒造成的误读。代码层对 PaddleOCR 2.x 列表式返回与 3.x 字典式返回做了兼容解析，统一为 OCRItem（文本、置信度、四点框），供表格聚类、线网格落格与局部补识别复用。</w:t>
      </w:r>
    </w:p>
    <w:p>
      <w:pPr>
        <w:spacing w:before="120" w:after="120"/>
      </w:pPr>
      <w:r>
        <w:rPr>
          <w:rFonts w:ascii="Times New Roman" w:hAnsi="Times New Roman" w:eastAsia="黑体" w:cs="黑体"/>
          <w:b/>
          <w:sz w:val="28"/>
        </w:rPr>
        <w:t>4.8　HTTP 服务层设计</w:t>
      </w:r>
    </w:p>
    <w:p>
      <w:pPr>
        <w:spacing w:line="360" w:lineRule="auto" w:after="120"/>
        <w:ind w:firstLine="480"/>
      </w:pPr>
      <w:r>
        <w:rPr>
          <w:rFonts w:ascii="Times New Roman" w:hAnsi="Times New Roman" w:eastAsia="宋体" w:cs="宋体"/>
          <w:sz w:val="24"/>
        </w:rPr>
        <w:t>main.py 将 FastAPI 实例与静态目录、CORS、全局服务单例组装在一起。上传路由仅负责读取字节与调用 parser_service.parse，不在路由层展开业务分支，符合单一职责。导出路由校验 payload 结构，避免恶意超大 JSON 直接进入写文件逻辑。</w:t>
      </w:r>
    </w:p>
    <w:p>
      <w:pPr>
        <w:spacing w:line="240" w:lineRule="auto" w:after="120"/>
        <w:ind w:left="240"/>
      </w:pPr>
      <w:r>
        <w:rPr>
          <w:rFonts w:ascii="Consolas" w:hAnsi="Consolas" w:eastAsia="宋体" w:cs="宋体"/>
          <w:sz w:val="19"/>
        </w:rPr>
        <w:t>@app.post("/upload")</w:t>
        <w:br/>
        <w:t>async def upload(file: UploadFile = File(...)) -&gt; JSONResponse:</w:t>
        <w:br/>
        <w:t xml:space="preserve">    raw = await file.read()</w:t>
        <w:br/>
        <w:t xml:space="preserve">    result = parser_service.parse(</w:t>
        <w:br/>
        <w:t xml:space="preserve">        filename=file.filename or f"upload-{uuid.uuid4().hex}",</w:t>
        <w:br/>
        <w:t xml:space="preserve">        content_type=file.content_type or "",</w:t>
        <w:br/>
        <w:t xml:space="preserve">        data=raw,</w:t>
        <w:br/>
        <w:t xml:space="preserve">    )</w:t>
        <w:br/>
        <w:t xml:space="preserve">    return JSONResponse(content=result)</w:t>
      </w:r>
    </w:p>
    <w:p>
      <w:pPr>
        <w:spacing w:line="360" w:lineRule="auto" w:after="120"/>
        <w:ind w:firstLine="480"/>
      </w:pPr>
      <w:r>
        <w:rPr>
          <w:rFonts w:ascii="Times New Roman" w:hAnsi="Times New Roman" w:eastAsia="宋体" w:cs="宋体"/>
          <w:sz w:val="24"/>
        </w:rPr>
        <w:t>综上，第4章从像素层到服务层完成了“把不稳定成像变成稳定 OCR 输入”的主要工作，为第5章表格结构恢复提供了高质量的观测数据。</w:t>
      </w:r>
    </w:p>
    <w:p>
      <w:pPr>
        <w:spacing w:before="240" w:after="120"/>
      </w:pPr>
      <w:r>
        <w:rPr>
          <w:rFonts w:ascii="Times New Roman" w:hAnsi="Times New Roman" w:eastAsia="黑体" w:cs="黑体"/>
          <w:b/>
          <w:sz w:val="32"/>
        </w:rPr>
        <w:t>第5章　表格结构恢复与业务解析</w:t>
      </w:r>
    </w:p>
    <w:p>
      <w:pPr>
        <w:spacing w:before="120" w:after="120"/>
      </w:pPr>
      <w:r>
        <w:rPr>
          <w:rFonts w:ascii="Times New Roman" w:hAnsi="Times New Roman" w:eastAsia="黑体" w:cs="黑体"/>
          <w:b/>
          <w:sz w:val="28"/>
        </w:rPr>
        <w:t>5.1　问题建模与多路径策略概述</w:t>
      </w:r>
    </w:p>
    <w:p>
      <w:pPr>
        <w:spacing w:line="360" w:lineRule="auto" w:after="120"/>
        <w:ind w:firstLine="480"/>
      </w:pPr>
      <w:r>
        <w:rPr>
          <w:rFonts w:ascii="Times New Roman" w:hAnsi="Times New Roman" w:eastAsia="宋体" w:cs="宋体"/>
          <w:sz w:val="24"/>
        </w:rPr>
        <w:t>可将 OCR 输出抽象为若干文字实例，每个实例包含文本内容、置信度与平面四边形检测框。表格恢复的目标是把检测框划分到离散的行列网格中，使同一单元格内语义一致且行列索引与视觉表格对齐。由于成绩单成像条件多样，单一算法难以保证全局最优，故采用“轻量几何聚类 → 线结构约束 → 深度表格流水线兜底”的分级策略，并以可解释的标量得分在路径间仲裁。</w:t>
      </w:r>
    </w:p>
    <w:p>
      <w:pPr>
        <w:spacing w:before="120" w:after="120"/>
      </w:pPr>
      <w:r>
        <w:rPr>
          <w:rFonts w:ascii="Times New Roman" w:hAnsi="Times New Roman" w:eastAsia="黑体" w:cs="黑体"/>
          <w:b/>
          <w:sz w:val="28"/>
        </w:rPr>
        <w:t>5.2　基于 OCR 检测框的行列聚类重建</w:t>
      </w:r>
    </w:p>
    <w:p>
      <w:pPr>
        <w:spacing w:line="360" w:lineRule="auto" w:after="120"/>
        <w:ind w:firstLine="480"/>
      </w:pPr>
      <w:r>
        <w:rPr>
          <w:rFonts w:ascii="Times New Roman" w:hAnsi="Times New Roman" w:eastAsia="宋体" w:cs="宋体"/>
          <w:sz w:val="24"/>
        </w:rPr>
        <w:t>_items_to_grid 首先将每个 OCRItem 映射为轴对齐包围盒与中心点，按 y 中心聚类为行：行内阈值 y_tol 与检测框中位高度相关，可容忍轻微纵向抖动。行内再按 x 中心排序，并对全图 x 中心序列做一维聚类得到列中心，列间距阈值 x_tol 与中位宽度相关。该方法对“截图类、列对齐明显”的班级表效果最佳，复杂度近似线性，适合作为默认主路径。</w:t>
      </w:r>
    </w:p>
    <w:p>
      <w:pPr>
        <w:spacing w:line="360" w:lineRule="auto" w:after="120"/>
        <w:ind w:firstLine="480"/>
      </w:pPr>
      <w:r>
        <w:rPr>
          <w:rFonts w:ascii="Times New Roman" w:hAnsi="Times New Roman" w:eastAsia="宋体" w:cs="宋体"/>
          <w:sz w:val="24"/>
        </w:rPr>
        <w:t>该路径的失效模式包括：密集小数字导致框粘连、强透视下同一行 y 中心离群、以及表头多行合并造成首行检测不全。因此需要 _grid_score 与后续线结构/PaddleX</w:t>
      </w:r>
      <w:r>
        <w:rPr>
          <w:rFonts w:ascii="Times New Roman" w:hAnsi="Times New Roman" w:eastAsia="宋体" w:cs="宋体"/>
          <w:sz w:val="24"/>
          <w:vertAlign w:val="superscript"/>
        </w:rPr>
        <w:t>[2]</w:t>
      </w:r>
      <w:r>
        <w:rPr>
          <w:rFonts w:ascii="Times New Roman" w:hAnsi="Times New Roman" w:eastAsia="宋体" w:cs="宋体"/>
          <w:sz w:val="24"/>
        </w:rPr>
        <w:t>互为补充。</w:t>
      </w:r>
    </w:p>
    <w:p>
      <w:pPr>
        <w:spacing w:before="120" w:after="120"/>
      </w:pPr>
      <w:r>
        <w:rPr>
          <w:rFonts w:ascii="Times New Roman" w:hAnsi="Times New Roman" w:eastAsia="黑体" w:cs="黑体"/>
          <w:b/>
          <w:sz w:val="28"/>
        </w:rPr>
        <w:t>5.3　表格线提取与线网格结构恢复</w:t>
      </w:r>
    </w:p>
    <w:p>
      <w:pPr>
        <w:spacing w:line="360" w:lineRule="auto" w:after="120"/>
        <w:ind w:firstLine="480"/>
      </w:pPr>
      <w:r>
        <w:rPr>
          <w:rFonts w:ascii="Times New Roman" w:hAnsi="Times New Roman" w:eastAsia="宋体" w:cs="宋体"/>
          <w:sz w:val="24"/>
        </w:rPr>
        <w:t>对灰度图二值化后，利用形态学分别保留长横线与长竖线，再融合得到 grid_mask；统计竖线/横线主导度 vertical_dominance、horizontal_dominance，仅当二者均超过经验阈值时才认为“线结构可信”，进而将 mask 分解为单元格集合并调用 _line_cells_to_grid 将 OCR 文本落入格内。该方法在纸质表格、线清晰场景下结构约束强，可减少 OCR 漏框带来的列错位。</w:t>
      </w:r>
    </w:p>
    <w:p>
      <w:pPr>
        <w:spacing w:line="360" w:lineRule="auto" w:after="120"/>
        <w:ind w:firstLine="480"/>
      </w:pPr>
      <w:r>
        <w:rPr>
          <w:rFonts w:ascii="Times New Roman" w:hAnsi="Times New Roman" w:eastAsia="宋体" w:cs="宋体"/>
          <w:sz w:val="24"/>
        </w:rPr>
        <w:t>其代价是对断线、弱线、复印淡化敏感；故实现中要求 line 路径在得分上显著优于 items 路径才切换，避免“画虎不成反类犬”。</w:t>
      </w:r>
    </w:p>
    <w:p>
      <w:pPr>
        <w:spacing w:before="120" w:after="120"/>
      </w:pPr>
      <w:r>
        <w:rPr>
          <w:rFonts w:ascii="Times New Roman" w:hAnsi="Times New Roman" w:eastAsia="黑体" w:cs="黑体"/>
          <w:b/>
          <w:sz w:val="28"/>
        </w:rPr>
        <w:t>5.4　PaddleX 表格流水线与 HTML 解析</w:t>
      </w:r>
    </w:p>
    <w:p>
      <w:pPr>
        <w:spacing w:line="360" w:lineRule="auto" w:after="120"/>
        <w:ind w:firstLine="480"/>
      </w:pPr>
      <w:r>
        <w:rPr>
          <w:rFonts w:ascii="Times New Roman" w:hAnsi="Times New Roman" w:eastAsia="宋体" w:cs="宋体"/>
          <w:sz w:val="24"/>
        </w:rPr>
        <w:t>当聚类得分不足且线结构亦不可靠时，调用 paddlex.create_pipeline("table_recognition") 获取 pred，读取 html 字段并用 BeautifulSoup</w:t>
      </w:r>
      <w:r>
        <w:rPr>
          <w:rFonts w:ascii="Times New Roman" w:hAnsi="Times New Roman" w:eastAsia="宋体" w:cs="宋体"/>
          <w:sz w:val="24"/>
          <w:vertAlign w:val="superscript"/>
        </w:rPr>
        <w:t>[11]</w:t>
      </w:r>
      <w:r>
        <w:rPr>
          <w:rFonts w:ascii="Times New Roman" w:hAnsi="Times New Roman" w:eastAsia="宋体" w:cs="宋体"/>
          <w:sz w:val="24"/>
        </w:rPr>
        <w:t>与 lxml 解析器配合解析表格节点</w:t>
      </w:r>
      <w:r>
        <w:rPr>
          <w:rFonts w:ascii="Times New Roman" w:hAnsi="Times New Roman" w:eastAsia="宋体" w:cs="宋体"/>
          <w:sz w:val="24"/>
          <w:vertAlign w:val="superscript"/>
        </w:rPr>
        <w:t>[2]</w:t>
      </w:r>
      <w:r>
        <w:rPr>
          <w:rFonts w:ascii="Times New Roman" w:hAnsi="Times New Roman" w:eastAsia="宋体" w:cs="宋体"/>
          <w:sz w:val="24"/>
        </w:rPr>
        <w:t>。HTML 路径的优势在于对复杂合并单元格有一定归纳能力；劣势是依赖体积大、冷启动慢，且 HTML 转 grid 时需处理 rowspan/colspan 与空单元格。</w:t>
      </w:r>
    </w:p>
    <w:p>
      <w:pPr>
        <w:spacing w:before="120" w:after="120"/>
      </w:pPr>
      <w:r>
        <w:rPr>
          <w:rFonts w:ascii="Times New Roman" w:hAnsi="Times New Roman" w:eastAsia="黑体" w:cs="黑体"/>
          <w:b/>
          <w:sz w:val="28"/>
        </w:rPr>
        <w:t>5.5　网格质量评分与路径决策</w:t>
      </w:r>
    </w:p>
    <w:p>
      <w:pPr>
        <w:spacing w:line="360" w:lineRule="auto" w:after="120"/>
        <w:ind w:firstLine="480"/>
      </w:pPr>
      <w:r>
        <w:rPr>
          <w:rFonts w:ascii="Times New Roman" w:hAnsi="Times New Roman" w:eastAsia="宋体" w:cs="宋体"/>
          <w:sz w:val="24"/>
        </w:rPr>
        <w:t>_grid_score 通过表头关键词（姓名、学号、班级、成绩等）命中数、行列规模、首行空单元惩罚等启发式加权，得到标量分数。recognize_table 中若 score_items 已足够高则直接返回聚类结果；若线网格分数更高且满足阈值则返回线结果；否则进入 PaddleX；若 HTML 解析网格分数仍不优则回退到较优的轻量路径。该决策链体现了工程上的“早停 + 兜底”。</w:t>
      </w:r>
    </w:p>
    <w:p>
      <w:pPr>
        <w:spacing w:line="240" w:lineRule="auto" w:after="120"/>
        <w:ind w:left="240"/>
      </w:pPr>
      <w:r>
        <w:rPr>
          <w:rFonts w:ascii="Consolas" w:hAnsi="Consolas" w:eastAsia="宋体" w:cs="宋体"/>
          <w:sz w:val="19"/>
        </w:rPr>
        <w:t>def recognize_table(self, image_bgr, *, ocr_items=None, preprocess=True):</w:t>
        <w:br/>
        <w:t xml:space="preserve">    if ocr_items is None:</w:t>
        <w:br/>
        <w:t xml:space="preserve">        ocr_items = self.recognize_text(image_bgr, preprocess=False)</w:t>
        <w:br/>
        <w:t xml:space="preserve">    grid_from_items = self._items_to_grid(ocr_items)</w:t>
        <w:br/>
        <w:t xml:space="preserve">    score_items = self._grid_score(grid_from_items)</w:t>
        <w:br/>
        <w:t xml:space="preserve">    ...</w:t>
        <w:br/>
        <w:t xml:space="preserve">    if score_items &gt;= 20:</w:t>
        <w:br/>
        <w:t xml:space="preserve">        return grid_from_items</w:t>
        <w:br/>
        <w:t xml:space="preserve">    engine = self._get_table_engine()</w:t>
        <w:br/>
        <w:t xml:space="preserve">    pred = engine.predict(image_bgr)</w:t>
        <w:br/>
        <w:t xml:space="preserve">    ...</w:t>
      </w:r>
    </w:p>
    <w:p>
      <w:pPr>
        <w:spacing w:before="120" w:after="120"/>
      </w:pPr>
      <w:r>
        <w:rPr>
          <w:rFonts w:ascii="Times New Roman" w:hAnsi="Times New Roman" w:eastAsia="黑体" w:cs="黑体"/>
          <w:b/>
          <w:sz w:val="28"/>
        </w:rPr>
        <w:t>5.6　二次聚焦 OCR 与解析管线</w:t>
      </w:r>
    </w:p>
    <w:p>
      <w:pPr>
        <w:spacing w:line="360" w:lineRule="auto" w:after="120"/>
        <w:ind w:firstLine="480"/>
      </w:pPr>
      <w:r>
        <w:rPr>
          <w:rFonts w:ascii="Times New Roman" w:hAnsi="Times New Roman" w:eastAsia="宋体" w:cs="宋体"/>
          <w:sz w:val="24"/>
        </w:rPr>
        <w:t>FileParserService._parse_image 在得到首遍 ocr_items 后，根据文字分布估计表格包围盒 _estimate_focus_bbox，对图像做裁剪并更新 transform_context。若 focused 为真，则在更小 ROI 上再次 recognize_text，相当于提高有效分辨率并削弱页脚、桌面的干扰。该策略对“成绩只占画面中部”的手机竖拍图尤为有效。</w:t>
      </w:r>
    </w:p>
    <w:p>
      <w:pPr>
        <w:spacing w:line="360" w:lineRule="auto" w:after="120"/>
        <w:ind w:firstLine="480"/>
      </w:pPr>
      <w:r>
        <w:rPr>
          <w:rFonts w:ascii="Times New Roman" w:hAnsi="Times New Roman" w:eastAsia="宋体" w:cs="宋体"/>
          <w:sz w:val="24"/>
        </w:rPr>
        <w:t>随后将 ocr_items 与图像一并交给 recognize_table，再进入 _extract_class_grid：包括动态表头发现、别名归一化、空列剔除与行规范化等步骤，最终输出与前端契约一致的 headers 与 rows。</w:t>
      </w:r>
    </w:p>
    <w:p>
      <w:pPr>
        <w:spacing w:before="120" w:after="120"/>
      </w:pPr>
      <w:r>
        <w:rPr>
          <w:rFonts w:ascii="Times New Roman" w:hAnsi="Times New Roman" w:eastAsia="黑体" w:cs="黑体"/>
          <w:b/>
          <w:sz w:val="28"/>
        </w:rPr>
        <w:t>5.7　表头识别、元信息与字段清洗</w:t>
      </w:r>
    </w:p>
    <w:p>
      <w:pPr>
        <w:spacing w:line="360" w:lineRule="auto" w:after="120"/>
        <w:ind w:firstLine="480"/>
      </w:pPr>
      <w:r>
        <w:rPr>
          <w:rFonts w:ascii="Times New Roman" w:hAnsi="Times New Roman" w:eastAsia="宋体" w:cs="宋体"/>
          <w:sz w:val="24"/>
        </w:rPr>
        <w:t>元信息 _extract_transcript_meta 通过正则与关键词扫描 OCR 文本，抽取姓名、学号、班级、学院、学期等字段；若表格 title 缺失可用 meta 中的标题补齐。字段清洗 _normalize_transcript_rows 负责全角半角、空白与常见 OCR 混淆字符的归一，减少导出 Excel 后的二次手工清洗。</w:t>
      </w:r>
    </w:p>
    <w:p>
      <w:pPr>
        <w:spacing w:before="120" w:after="120"/>
      </w:pPr>
      <w:r>
        <w:rPr>
          <w:rFonts w:ascii="Times New Roman" w:hAnsi="Times New Roman" w:eastAsia="黑体" w:cs="黑体"/>
          <w:b/>
          <w:sz w:val="28"/>
        </w:rPr>
        <w:t>5.8　碎行合并、单元格区域估计与数字补识别</w:t>
      </w:r>
    </w:p>
    <w:p>
      <w:pPr>
        <w:spacing w:line="360" w:lineRule="auto" w:after="120"/>
        <w:ind w:firstLine="480"/>
      </w:pPr>
      <w:r>
        <w:rPr>
          <w:rFonts w:ascii="Times New Roman" w:hAnsi="Times New Roman" w:eastAsia="宋体" w:cs="宋体"/>
          <w:sz w:val="24"/>
        </w:rPr>
        <w:t>碎行合并解决“同一学生一行被切成两行且列上互补”的拍照畸变：通过比较相邻行非空列集合是否不相交，并结合列索引单调性判断是否应拼接。单元格区域估计 _estimate_cell_regions 通过估计表格主轴与行列边界，生成整格多边形，使高亮框覆盖视觉单元格而非仅文字外包矩形。</w:t>
      </w:r>
    </w:p>
    <w:p>
      <w:pPr>
        <w:spacing w:line="360" w:lineRule="auto" w:after="120"/>
        <w:ind w:firstLine="480"/>
      </w:pPr>
      <w:r>
        <w:rPr>
          <w:rFonts w:ascii="Times New Roman" w:hAnsi="Times New Roman" w:eastAsia="宋体" w:cs="宋体"/>
          <w:sz w:val="24"/>
        </w:rPr>
        <w:t>_recover_numeric_cells 对仍为空的数值格，优先利用已有 OCR 框重叠推断；失败则 _run_local_cell_ocr：裁块、加白边、放大后局部再识别。该机制针对小数与窄列数字显著降低漏识率，是相比“只跑一遍整图 OCR”的重要工程增量。</w:t>
      </w:r>
    </w:p>
    <w:p>
      <w:pPr>
        <w:spacing w:before="120" w:after="120"/>
      </w:pPr>
      <w:r>
        <w:rPr>
          <w:rFonts w:ascii="Times New Roman" w:hAnsi="Times New Roman" w:eastAsia="黑体" w:cs="黑体"/>
          <w:b/>
          <w:sz w:val="28"/>
        </w:rPr>
        <w:t>5.9　前端高亮联动与 Excel 导出</w:t>
      </w:r>
    </w:p>
    <w:p>
      <w:pPr>
        <w:spacing w:line="360" w:lineRule="auto" w:after="120"/>
        <w:ind w:firstLine="480"/>
      </w:pPr>
      <w:r>
        <w:rPr>
          <w:rFonts w:ascii="Times New Roman" w:hAnsi="Times New Roman" w:eastAsia="宋体" w:cs="宋体"/>
          <w:sz w:val="24"/>
        </w:rPr>
        <w:t>前端根据预览模式选择 points 或 processed_points，使用 SVG 覆盖层绘制多边形，实现“点表格、看图”的闭环校对。导出时 ExcelService 借助 openpyxl</w:t>
      </w:r>
      <w:r>
        <w:rPr>
          <w:rFonts w:ascii="Times New Roman" w:hAnsi="Times New Roman" w:eastAsia="宋体" w:cs="宋体"/>
          <w:sz w:val="24"/>
          <w:vertAlign w:val="superscript"/>
        </w:rPr>
        <w:t>[10]</w:t>
      </w:r>
      <w:r>
        <w:rPr>
          <w:rFonts w:ascii="Times New Roman" w:hAnsi="Times New Roman" w:eastAsia="宋体" w:cs="宋体"/>
          <w:sz w:val="24"/>
        </w:rPr>
        <w:t>写入标题行（可选合并单元格）、表头样式、冻结首行与自动筛选，并对纯数字成绩尝试解析为数值类型以便后续求和统计。</w:t>
      </w:r>
    </w:p>
    <w:p>
      <w:pPr>
        <w:spacing w:before="120" w:after="120"/>
      </w:pPr>
      <w:r>
        <w:rPr>
          <w:rFonts w:ascii="Times New Roman" w:hAnsi="Times New Roman" w:eastAsia="黑体" w:cs="黑体"/>
          <w:b/>
          <w:sz w:val="28"/>
        </w:rPr>
        <w:t>5.10　上传接口 JSON 返回格式与数据处理</w:t>
      </w:r>
    </w:p>
    <w:p>
      <w:pPr>
        <w:spacing w:line="360" w:lineRule="auto" w:after="120"/>
        <w:ind w:firstLine="480"/>
      </w:pPr>
      <w:r>
        <w:rPr>
          <w:rFonts w:ascii="Times New Roman" w:hAnsi="Times New Roman" w:eastAsia="宋体" w:cs="宋体"/>
          <w:sz w:val="24"/>
        </w:rPr>
        <w:t>POST /upload 在解析成功时返回 application/json。班级成绩表走通表格恢复后，主体字段包括：headers 为字符串数组，表示列名；rows 为对象数组，每一行通常包含 values（列名到单元格值的映射）、confidences（同结构的置信度），以及可选的 boxes（列名到平面多边形顶点列表，用于前端在原图或预处理图上绘制高亮）。另可包含 title（表题）、header_boxes（表头区域框）、meta（由 OCR 文本正则抽取的姓名、学号、班级等键值对），以及 processed_preview（以 data:image/png;base64,... 形式内嵌的预处理预览图，便于对照纠错）。</w:t>
      </w:r>
    </w:p>
    <w:p>
      <w:pPr>
        <w:spacing w:line="360" w:lineRule="auto" w:after="120"/>
        <w:ind w:firstLine="480"/>
      </w:pPr>
      <w:r>
        <w:rPr>
          <w:rFonts w:ascii="Times New Roman" w:hAnsi="Times New Roman" w:eastAsia="宋体" w:cs="宋体"/>
          <w:sz w:val="24"/>
        </w:rPr>
        <w:t>数据处理上，FileParserService._parse_image 先 decode_image 与 preprocess_with_context，再 recognize_text 得到 ocr_items；可选二次聚焦后再次识别；随后 recognize_table 走多路径表格恢复，并由 _extract_class_grid 完成表头归一、空列剔除、碎行合并、单元格区域估计、数值格补识别与字段清洗，最终组装为上述 JSON。前端将 headers/rows 绑定到可编辑表格，用 boxes 与 transform_context 将多边形映射到用户选择的坐标系；导出时再把用户编辑后的同一结构 POST 至 /export。</w:t>
      </w:r>
    </w:p>
    <w:p>
      <w:pPr>
        <w:spacing w:line="240" w:lineRule="auto" w:after="120"/>
        <w:ind w:left="240"/>
      </w:pPr>
      <w:r>
        <w:rPr>
          <w:rFonts w:ascii="Consolas" w:hAnsi="Consolas" w:eastAsia="宋体" w:cs="宋体"/>
          <w:sz w:val="19"/>
        </w:rPr>
        <w:t>// 典型成功响应（字段视样本略有增减）</w:t>
        <w:br/>
        <w:t>{</w:t>
        <w:br/>
        <w:t xml:space="preserve">  "headers": ["姓名", "班级", "平时成绩", "期末成绩"],</w:t>
        <w:br/>
        <w:t xml:space="preserve">  "rows": [</w:t>
        <w:br/>
        <w:t xml:space="preserve">    {</w:t>
        <w:br/>
        <w:t xml:space="preserve">      "values": {"姓名": "张三", "班级": "计科1班", "平时成绩": 88, "期末成绩": 90},</w:t>
        <w:br/>
        <w:t xml:space="preserve">      "confidences": {"姓名": 0.99, "班级": 0.97, "平时成绩": 0.95, "期末成绩": 0.96},</w:t>
        <w:br/>
        <w:t xml:space="preserve">      "boxes": {"姓名": [[x1,y1], ...], ...}</w:t>
        <w:br/>
        <w:t xml:space="preserve">    }</w:t>
        <w:br/>
        <w:t xml:space="preserve">  ],</w:t>
        <w:br/>
        <w:t xml:space="preserve">  "title": "…",</w:t>
        <w:br/>
        <w:t xml:space="preserve">  "meta": {"姓名": "…", "学号": "…"},</w:t>
        <w:br/>
        <w:t xml:space="preserve">  "processed_preview": "data:image/png;base64,..."</w:t>
        <w:br/>
        <w:t>}</w:t>
      </w:r>
    </w:p>
    <w:p>
      <w:pPr>
        <w:spacing w:before="240" w:after="120"/>
      </w:pPr>
      <w:r>
        <w:rPr>
          <w:rFonts w:ascii="Times New Roman" w:hAnsi="Times New Roman" w:eastAsia="黑体" w:cs="黑体"/>
          <w:b/>
          <w:sz w:val="32"/>
        </w:rPr>
        <w:t>第6章　系统实现、测试与实验分析</w:t>
      </w:r>
    </w:p>
    <w:p>
      <w:pPr>
        <w:spacing w:before="120" w:after="120"/>
      </w:pPr>
      <w:r>
        <w:rPr>
          <w:rFonts w:ascii="Times New Roman" w:hAnsi="Times New Roman" w:eastAsia="黑体" w:cs="黑体"/>
          <w:b/>
          <w:sz w:val="28"/>
        </w:rPr>
        <w:t>6.1　实现环境与工具链</w:t>
      </w:r>
    </w:p>
    <w:p>
      <w:pPr>
        <w:spacing w:line="360" w:lineRule="auto" w:after="120"/>
        <w:ind w:firstLine="480"/>
      </w:pPr>
      <w:r>
        <w:rPr>
          <w:rFonts w:ascii="Times New Roman" w:hAnsi="Times New Roman" w:eastAsia="宋体" w:cs="宋体"/>
          <w:sz w:val="24"/>
        </w:rPr>
        <w:t>开发机与实验机建议配置为：Windows 10/11 64 位、16GB 及以上内存、支持 AVX 的 x64 CPU；Python 3.9 及以上虚拟环境。关键依赖包括 fastapi、uvicorn[standard]、paddleocr、paddlepaddle、opencv-python、openpyxl</w:t>
      </w:r>
      <w:r>
        <w:rPr>
          <w:rFonts w:ascii="Times New Roman" w:hAnsi="Times New Roman" w:eastAsia="宋体" w:cs="宋体"/>
          <w:sz w:val="24"/>
          <w:vertAlign w:val="superscript"/>
        </w:rPr>
        <w:t>[10]</w:t>
      </w:r>
      <w:r>
        <w:rPr>
          <w:rFonts w:ascii="Times New Roman" w:hAnsi="Times New Roman" w:eastAsia="宋体" w:cs="宋体"/>
          <w:sz w:val="24"/>
        </w:rPr>
        <w:t>、beautifulsoup4</w:t>
      </w:r>
      <w:r>
        <w:rPr>
          <w:rFonts w:ascii="Times New Roman" w:hAnsi="Times New Roman" w:eastAsia="宋体" w:cs="宋体"/>
          <w:sz w:val="24"/>
          <w:vertAlign w:val="superscript"/>
        </w:rPr>
        <w:t>[11]</w:t>
      </w:r>
      <w:r>
        <w:rPr>
          <w:rFonts w:ascii="Times New Roman" w:hAnsi="Times New Roman" w:eastAsia="宋体" w:cs="宋体"/>
          <w:sz w:val="24"/>
        </w:rPr>
        <w:t>、lxml；若需 SVG 栅格化则依赖 cairosvg。环境变量 PADDLE_PDX_DISABLE_MODEL_SOURCE_CHECK 可按官方说明关闭模型源检查以加速冷启动。</w:t>
      </w:r>
    </w:p>
    <w:p>
      <w:pPr>
        <w:spacing w:line="360" w:lineRule="auto" w:after="120"/>
        <w:ind w:firstLine="480"/>
      </w:pPr>
      <w:r>
        <w:rPr>
          <w:rFonts w:ascii="Times New Roman" w:hAnsi="Times New Roman" w:eastAsia="宋体" w:cs="宋体"/>
          <w:sz w:val="24"/>
        </w:rPr>
        <w:t>工程目录中 backend 为服务代码，frontend 为静态资源，tests 为单元测试，tools 含辅助脚本。启动命令为 `python -m uvicorn backend.main:app --reload --host 0.0.0.0 --port 8000`，浏览器访问 http://localhost:8000/ 进入主界面。</w:t>
      </w:r>
    </w:p>
    <w:p>
      <w:pPr>
        <w:spacing w:before="120" w:after="120"/>
      </w:pPr>
      <w:r>
        <w:rPr>
          <w:rFonts w:ascii="Times New Roman" w:hAnsi="Times New Roman" w:eastAsia="黑体" w:cs="黑体"/>
          <w:b/>
          <w:sz w:val="28"/>
        </w:rPr>
        <w:t>6.2　系统功能实现与运行说明</w:t>
      </w:r>
    </w:p>
    <w:p>
      <w:pPr>
        <w:spacing w:line="360" w:lineRule="auto" w:after="120"/>
        <w:ind w:firstLine="480"/>
      </w:pPr>
      <w:r>
        <w:rPr>
          <w:rFonts w:ascii="Times New Roman" w:hAnsi="Times New Roman" w:eastAsia="宋体" w:cs="宋体"/>
          <w:sz w:val="24"/>
        </w:rPr>
        <w:t>功能实现上，上传模块使用浏览器 FormData 调用 /upload；解析完成后右侧表格组件渲染 headers 与 rows，低置信度单元格可在前端标红提示；预览区支持切换原图与预处理图，辅助判断预处理是否过度或不足。导出模块将当前表格序列化为 JSON POST 至 /export，成功后跳转下载链接。</w:t>
      </w:r>
    </w:p>
    <w:p>
      <w:pPr>
        <w:spacing w:line="360" w:lineRule="auto" w:after="120"/>
        <w:ind w:firstLine="480"/>
      </w:pPr>
      <w:r>
        <w:rPr>
          <w:rFonts w:ascii="Times New Roman" w:hAnsi="Times New Roman" w:eastAsia="宋体" w:cs="宋体"/>
          <w:sz w:val="24"/>
        </w:rPr>
        <w:t>异常路径包括：空文件、无法解码图片、不支持的扩展名、OCR 内部错误等，前端应捕获 HTTP 状态码并提示用户更换素材或缩小图片体积。</w:t>
      </w:r>
    </w:p>
    <w:p>
      <w:pPr>
        <w:spacing w:before="120" w:after="120"/>
      </w:pPr>
      <w:r>
        <w:rPr>
          <w:rFonts w:ascii="Times New Roman" w:hAnsi="Times New Roman" w:eastAsia="黑体" w:cs="黑体"/>
          <w:b/>
          <w:sz w:val="28"/>
        </w:rPr>
        <w:t>6.3　测试方案与单元测试</w:t>
      </w:r>
    </w:p>
    <w:p>
      <w:pPr>
        <w:spacing w:line="360" w:lineRule="auto" w:after="120"/>
        <w:ind w:firstLine="480"/>
      </w:pPr>
      <w:r>
        <w:rPr>
          <w:rFonts w:ascii="Times New Roman" w:hAnsi="Times New Roman" w:eastAsia="宋体" w:cs="宋体"/>
          <w:sz w:val="24"/>
        </w:rPr>
        <w:t>测试分为三类：其一，接口测试 tests/test_api.py，验证 /upload、/export、/health 的契约与错误码；其二，解析测试 tests/test_parser_service.py，对合成表格 JSON 与样例图像（若仓库内置）做回归；其三，导出测试 tests/test_excel_service.py，检查生成文件是否包含冻结窗格、筛选与基本样式。</w:t>
      </w:r>
    </w:p>
    <w:p>
      <w:pPr>
        <w:spacing w:line="360" w:lineRule="auto" w:after="120"/>
        <w:ind w:firstLine="480"/>
      </w:pPr>
      <w:r>
        <w:rPr>
          <w:rFonts w:ascii="Times New Roman" w:hAnsi="Times New Roman" w:eastAsia="宋体" w:cs="宋体"/>
          <w:sz w:val="24"/>
        </w:rPr>
        <w:t>运行 `python -m unittest discover -s tests -v` 应全部通过；建议在论文附录粘贴命令行绿色通过截图，并列出主要断言逻辑的文字说明。</w:t>
      </w:r>
    </w:p>
    <w:p>
      <w:pPr>
        <w:spacing w:before="120" w:after="120"/>
      </w:pPr>
      <w:r>
        <w:rPr>
          <w:rFonts w:ascii="Times New Roman" w:hAnsi="Times New Roman" w:eastAsia="黑体" w:cs="黑体"/>
          <w:b/>
          <w:sz w:val="28"/>
        </w:rPr>
        <w:t>6.4　实验数据集与对比基线</w:t>
      </w:r>
    </w:p>
    <w:p>
      <w:pPr>
        <w:spacing w:line="360" w:lineRule="auto" w:after="120"/>
        <w:ind w:firstLine="480"/>
      </w:pPr>
      <w:r>
        <w:rPr>
          <w:rFonts w:ascii="Times New Roman" w:hAnsi="Times New Roman" w:eastAsia="宋体" w:cs="宋体"/>
          <w:sz w:val="24"/>
        </w:rPr>
        <w:t>实验数据建议划分为：A 类教务截图（列对齐、线清晰）、B 类手机斜拍（透视与阴影明显）、C 类扫描件（噪声与黑边）、D 类弱线或无边框表。每类至少收集若干张经脱敏处理的样本，并记录分辨率与拍摄设备。对比基线包括：B1 纯人工录入耗时与错误类型统计；B2 不做预处理、不调表格结构，仅调用通用 OCR 并按阅读顺序输出；B3 使用本系统但关闭二次聚焦与数字补识别，以观察模块贡献。</w:t>
      </w:r>
    </w:p>
    <w:p>
      <w:pPr>
        <w:spacing w:line="360" w:lineRule="auto" w:after="120"/>
        <w:ind w:firstLine="480"/>
      </w:pPr>
      <w:r>
        <w:rPr>
          <w:rFonts w:ascii="Times New Roman" w:hAnsi="Times New Roman" w:eastAsia="宋体" w:cs="宋体"/>
          <w:sz w:val="24"/>
        </w:rPr>
        <w:t>为便于答辩材料与论文插图一致，可用与第4章相同的脱敏教务截图作为“代表性 A 类样本”，经与本系统一致的 preprocess_with_context 得到线上 /upload 实际输入。图6-4 给出该样本原图与完整预处理后图像的左右对照，插入位置建议：紧接本段“数据集划分与基线说明”之后，用于直观对应 B2 与 B3 讨论中的输入差异。其中 B2 可理解为仅在原图或弱预处理图上调用通用 OCR；B3 则保留几何与表格管线但关闭二次聚焦与数字补识别，以量化聚焦与补识别模块的边际收益。</w:t>
      </w:r>
    </w:p>
    <w:p/>
    <w:p>
      <w:pPr>
        <w:jc w:val="center"/>
      </w:pPr>
      <w:r>
        <w:drawing>
          <wp:inline xmlns:a="http://schemas.openxmlformats.org/drawingml/2006/main" xmlns:pic="http://schemas.openxmlformats.org/drawingml/2006/picture">
            <wp:extent cx="4937760" cy="1698983"/>
            <wp:docPr id="3" name="Picture 3"/>
            <wp:cNvGraphicFramePr>
              <a:graphicFrameLocks noChangeAspect="1"/>
            </wp:cNvGraphicFramePr>
            <a:graphic>
              <a:graphicData uri="http://schemas.openxmlformats.org/drawingml/2006/picture">
                <pic:pic>
                  <pic:nvPicPr>
                    <pic:cNvPr id="0" name="02_original_vs_pipeline.png"/>
                    <pic:cNvPicPr/>
                  </pic:nvPicPr>
                  <pic:blipFill>
                    <a:blip r:embed="rId11"/>
                    <a:stretch>
                      <a:fillRect/>
                    </a:stretch>
                  </pic:blipFill>
                  <pic:spPr>
                    <a:xfrm>
                      <a:off x="0" y="0"/>
                      <a:ext cx="4937760" cy="1698983"/>
                    </a:xfrm>
                    <a:prstGeom prst="rect"/>
                  </pic:spPr>
                </pic:pic>
              </a:graphicData>
            </a:graphic>
          </wp:inline>
        </w:drawing>
      </w:r>
    </w:p>
    <w:p>
      <w:pPr>
        <w:jc w:val="center"/>
      </w:pPr>
      <w:r>
        <w:rPr>
          <w:rFonts w:ascii="Times New Roman" w:hAnsi="Times New Roman" w:eastAsia="宋体" w:cs="宋体"/>
          <w:sz w:val="21"/>
        </w:rPr>
        <w:t>图6-4　实验用教务截图案例：原图与 preprocess_with_context 输出对照（与线上一致）</w:t>
      </w:r>
    </w:p>
    <w:p>
      <w:pPr>
        <w:spacing w:line="360" w:lineRule="auto" w:after="120"/>
        <w:ind w:firstLine="480"/>
      </w:pPr>
      <w:r>
        <w:rPr>
          <w:rFonts w:ascii="Times New Roman" w:hAnsi="Times New Roman" w:eastAsia="宋体" w:cs="宋体"/>
          <w:sz w:val="24"/>
        </w:rPr>
        <w:t>若需单独展示经流水线裁切增强后的整幅预处理结果（不含左右拼接），可将 test2/01_full_preprocess_pipeline.png 作为附图或附录材料；论文字数受限时也可仅用图6-4 一幅完成说明。</w:t>
      </w:r>
    </w:p>
    <w:p/>
    <w:p>
      <w:pPr>
        <w:jc w:val="center"/>
      </w:pPr>
      <w:r>
        <w:drawing>
          <wp:inline xmlns:a="http://schemas.openxmlformats.org/drawingml/2006/main" xmlns:pic="http://schemas.openxmlformats.org/drawingml/2006/picture">
            <wp:extent cx="3840480" cy="2610792"/>
            <wp:docPr id="4" name="Picture 4"/>
            <wp:cNvGraphicFramePr>
              <a:graphicFrameLocks noChangeAspect="1"/>
            </wp:cNvGraphicFramePr>
            <a:graphic>
              <a:graphicData uri="http://schemas.openxmlformats.org/drawingml/2006/picture">
                <pic:pic>
                  <pic:nvPicPr>
                    <pic:cNvPr id="0" name="01_full_preprocess_pipeline.png"/>
                    <pic:cNvPicPr/>
                  </pic:nvPicPr>
                  <pic:blipFill>
                    <a:blip r:embed="rId12"/>
                    <a:stretch>
                      <a:fillRect/>
                    </a:stretch>
                  </pic:blipFill>
                  <pic:spPr>
                    <a:xfrm>
                      <a:off x="0" y="0"/>
                      <a:ext cx="3840480" cy="2610792"/>
                    </a:xfrm>
                    <a:prstGeom prst="rect"/>
                  </pic:spPr>
                </pic:pic>
              </a:graphicData>
            </a:graphic>
          </wp:inline>
        </w:drawing>
      </w:r>
    </w:p>
    <w:p>
      <w:pPr>
        <w:jc w:val="center"/>
      </w:pPr>
      <w:r>
        <w:rPr>
          <w:rFonts w:ascii="Times New Roman" w:hAnsi="Times New Roman" w:eastAsia="宋体" w:cs="宋体"/>
          <w:sz w:val="21"/>
        </w:rPr>
        <w:t>图6-4（附）　同一案例经完整预处理后的单幅结果（可选排版）</w:t>
      </w:r>
    </w:p>
    <w:p>
      <w:pPr>
        <w:spacing w:before="120" w:after="120"/>
      </w:pPr>
      <w:r>
        <w:rPr>
          <w:rFonts w:ascii="Times New Roman" w:hAnsi="Times New Roman" w:eastAsia="黑体" w:cs="黑体"/>
          <w:b/>
          <w:sz w:val="28"/>
        </w:rPr>
        <w:t>6.5　对比实验与结果分析</w:t>
      </w:r>
    </w:p>
    <w:p>
      <w:pPr>
        <w:spacing w:line="360" w:lineRule="auto" w:after="120"/>
        <w:ind w:firstLine="480"/>
      </w:pPr>
      <w:r>
        <w:rPr>
          <w:rFonts w:ascii="Times New Roman" w:hAnsi="Times New Roman" w:eastAsia="宋体" w:cs="宋体"/>
          <w:sz w:val="24"/>
        </w:rPr>
        <w:t>为量化“相对传统方法的优势”，建议从工程可实现角度设置三类对照：（A）人工对照录入，记录单表耗时与笔误类型；（B）不做预处理与表格恢复的“整图单次通用 OCR”，将输出按阅读顺序拼接为纯文本；（C）仅保留检测框聚类、关闭二次聚焦与数字补识别的简化管线。在每一类输入子集上统计单元格准确率、表头对齐率、需人工修正次数与端到端时延，并保留失败样例截图用于误差分析。</w:t>
      </w:r>
    </w:p>
    <w:p>
      <w:pPr>
        <w:spacing w:line="360" w:lineRule="auto" w:after="120"/>
        <w:ind w:firstLine="480"/>
      </w:pPr>
      <w:r>
        <w:rPr>
          <w:rFonts w:ascii="Times New Roman" w:hAnsi="Times New Roman" w:eastAsia="宋体" w:cs="宋体"/>
          <w:sz w:val="24"/>
        </w:rPr>
        <w:t>定性上，本文系统预期在以下维度优于（B）：透视与背景干扰下的鲁棒性、短数字与小数点召回、直接可编辑的二维结构；相对（A）则显著降低时间成本；相对（C）则体现二次聚焦与补识别模块的边际收益。下表给出答辩前可填写的对比框架（表中数值需用自有样本实测替换）。</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t>对比项</w:t>
            </w:r>
          </w:p>
        </w:tc>
        <w:tc>
          <w:tcPr>
            <w:tcW w:type="dxa" w:w="2250"/>
          </w:tcPr>
          <w:p>
            <w:r>
              <w:t>人工录入</w:t>
            </w:r>
          </w:p>
        </w:tc>
        <w:tc>
          <w:tcPr>
            <w:tcW w:type="dxa" w:w="2250"/>
          </w:tcPr>
          <w:p>
            <w:r>
              <w:t>传统整图 OCR</w:t>
            </w:r>
          </w:p>
        </w:tc>
        <w:tc>
          <w:tcPr>
            <w:tcW w:type="dxa" w:w="2250"/>
          </w:tcPr>
          <w:p>
            <w:r>
              <w:t>本文系统</w:t>
            </w:r>
          </w:p>
        </w:tc>
      </w:tr>
      <w:tr>
        <w:tc>
          <w:tcPr>
            <w:tcW w:type="dxa" w:w="2250"/>
          </w:tcPr>
          <w:p>
            <w:r>
              <w:t>结构化表格</w:t>
            </w:r>
          </w:p>
        </w:tc>
        <w:tc>
          <w:tcPr>
            <w:tcW w:type="dxa" w:w="2250"/>
          </w:tcPr>
          <w:p>
            <w:r>
              <w:t>高（但成本高）</w:t>
            </w:r>
          </w:p>
        </w:tc>
        <w:tc>
          <w:tcPr>
            <w:tcW w:type="dxa" w:w="2250"/>
          </w:tcPr>
          <w:p>
            <w:r>
              <w:t>低</w:t>
            </w:r>
          </w:p>
        </w:tc>
        <w:tc>
          <w:tcPr>
            <w:tcW w:type="dxa" w:w="2250"/>
          </w:tcPr>
          <w:p>
            <w:r>
              <w:t>高</w:t>
            </w:r>
          </w:p>
        </w:tc>
      </w:tr>
      <w:tr>
        <w:tc>
          <w:tcPr>
            <w:tcW w:type="dxa" w:w="2250"/>
          </w:tcPr>
          <w:p>
            <w:r>
              <w:t>几何畸变适应</w:t>
            </w:r>
          </w:p>
        </w:tc>
        <w:tc>
          <w:tcPr>
            <w:tcW w:type="dxa" w:w="2250"/>
          </w:tcPr>
          <w:p>
            <w:r>
              <w:t>人眼强依赖</w:t>
            </w:r>
          </w:p>
        </w:tc>
        <w:tc>
          <w:tcPr>
            <w:tcW w:type="dxa" w:w="2250"/>
          </w:tcPr>
          <w:p>
            <w:r>
              <w:t>弱</w:t>
            </w:r>
          </w:p>
        </w:tc>
        <w:tc>
          <w:tcPr>
            <w:tcW w:type="dxa" w:w="2250"/>
          </w:tcPr>
          <w:p>
            <w:r>
              <w:t>较强（透视/纠偏）</w:t>
            </w:r>
          </w:p>
        </w:tc>
      </w:tr>
      <w:tr>
        <w:tc>
          <w:tcPr>
            <w:tcW w:type="dxa" w:w="2250"/>
          </w:tcPr>
          <w:p>
            <w:r>
              <w:t>小数字/易漏字段</w:t>
            </w:r>
          </w:p>
        </w:tc>
        <w:tc>
          <w:tcPr>
            <w:tcW w:type="dxa" w:w="2250"/>
          </w:tcPr>
          <w:p>
            <w:r>
              <w:t>依赖细心</w:t>
            </w:r>
          </w:p>
        </w:tc>
        <w:tc>
          <w:tcPr>
            <w:tcW w:type="dxa" w:w="2250"/>
          </w:tcPr>
          <w:p>
            <w:r>
              <w:t>易漏</w:t>
            </w:r>
          </w:p>
        </w:tc>
        <w:tc>
          <w:tcPr>
            <w:tcW w:type="dxa" w:w="2250"/>
          </w:tcPr>
          <w:p>
            <w:r>
              <w:t>局部补识别增强</w:t>
            </w:r>
          </w:p>
        </w:tc>
      </w:tr>
      <w:tr>
        <w:tc>
          <w:tcPr>
            <w:tcW w:type="dxa" w:w="2250"/>
          </w:tcPr>
          <w:p>
            <w:r>
              <w:t>可解释校对</w:t>
            </w:r>
          </w:p>
        </w:tc>
        <w:tc>
          <w:tcPr>
            <w:tcW w:type="dxa" w:w="2250"/>
          </w:tcPr>
          <w:p>
            <w:r>
              <w:t>无自动提示</w:t>
            </w:r>
          </w:p>
        </w:tc>
        <w:tc>
          <w:tcPr>
            <w:tcW w:type="dxa" w:w="2250"/>
          </w:tcPr>
          <w:p>
            <w:r>
              <w:t>弱</w:t>
            </w:r>
          </w:p>
        </w:tc>
        <w:tc>
          <w:tcPr>
            <w:tcW w:type="dxa" w:w="2250"/>
          </w:tcPr>
          <w:p>
            <w:r>
              <w:t>置信度+框选高亮</w:t>
            </w:r>
          </w:p>
        </w:tc>
      </w:tr>
    </w:tbl>
    <w:p/>
    <w:p>
      <w:pPr>
        <w:spacing w:line="360" w:lineRule="auto" w:after="120"/>
        <w:ind w:firstLine="480"/>
      </w:pPr>
      <w:r>
        <w:rPr>
          <w:rFonts w:ascii="Times New Roman" w:hAnsi="Times New Roman" w:eastAsia="宋体" w:cs="宋体"/>
          <w:sz w:val="24"/>
        </w:rPr>
        <w:t>由上表可见，本文系统在保持较高结构化输出的同时，将大量几何与版面理解工作自动化，并通过人机协同界面降低纠错成本；相较纯人工方式显著缩短录入时间，相较 naive OCR 又明显减少了行列错位与字段丢失问题。若实验结果在 D 类弱线表上仍波动较大，可在第7章展望中明确作为后续模型升级的重点方向。</w:t>
      </w:r>
    </w:p>
    <w:p>
      <w:pPr>
        <w:spacing w:before="120" w:after="120"/>
      </w:pPr>
      <w:r>
        <w:rPr>
          <w:rFonts w:ascii="Times New Roman" w:hAnsi="Times New Roman" w:eastAsia="黑体" w:cs="黑体"/>
          <w:b/>
          <w:sz w:val="28"/>
        </w:rPr>
        <w:t>6.6　运行截图与界面展示</w:t>
      </w:r>
    </w:p>
    <w:p>
      <w:pPr>
        <w:spacing w:line="360" w:lineRule="auto" w:after="120"/>
        <w:ind w:firstLine="480"/>
      </w:pPr>
      <w:r>
        <w:rPr>
          <w:rFonts w:ascii="Times New Roman" w:hAnsi="Times New Roman" w:eastAsia="宋体" w:cs="宋体"/>
          <w:sz w:val="24"/>
        </w:rPr>
        <w:t>图6-1 给出班级成绩片段经识别后的表格展示效果（姓名、班级、平时成绩等列结构清晰），对应原始文件 Snipaste_2026-02-24_19-13-43.png；已在下节插入 Word 图片对象，印刷前可替换为更高分辨率截图。图6-2、图6-3 请补充整页主界面与高亮联动效果。</w:t>
      </w:r>
    </w:p>
    <w:p/>
    <w:p>
      <w:pPr>
        <w:jc w:val="center"/>
      </w:pPr>
      <w:r>
        <w:drawing>
          <wp:inline xmlns:a="http://schemas.openxmlformats.org/drawingml/2006/main" xmlns:pic="http://schemas.openxmlformats.org/drawingml/2006/picture">
            <wp:extent cx="4754880" cy="1528570"/>
            <wp:docPr id="5" name="Picture 5"/>
            <wp:cNvGraphicFramePr>
              <a:graphicFrameLocks noChangeAspect="1"/>
            </wp:cNvGraphicFramePr>
            <a:graphic>
              <a:graphicData uri="http://schemas.openxmlformats.org/drawingml/2006/picture">
                <pic:pic>
                  <pic:nvPicPr>
                    <pic:cNvPr id="0" name="Snipaste_2026-02-24_19-13-43.png"/>
                    <pic:cNvPicPr/>
                  </pic:nvPicPr>
                  <pic:blipFill>
                    <a:blip r:embed="rId13"/>
                    <a:stretch>
                      <a:fillRect/>
                    </a:stretch>
                  </pic:blipFill>
                  <pic:spPr>
                    <a:xfrm>
                      <a:off x="0" y="0"/>
                      <a:ext cx="4754880" cy="1528570"/>
                    </a:xfrm>
                    <a:prstGeom prst="rect"/>
                  </pic:spPr>
                </pic:pic>
              </a:graphicData>
            </a:graphic>
          </wp:inline>
        </w:drawing>
      </w:r>
    </w:p>
    <w:p>
      <w:pPr>
        <w:jc w:val="center"/>
      </w:pPr>
      <w:r>
        <w:rPr>
          <w:rFonts w:ascii="Times New Roman" w:hAnsi="Times New Roman" w:eastAsia="宋体" w:cs="宋体"/>
          <w:sz w:val="21"/>
        </w:rPr>
        <w:t>图6-1　系统识别结果示例（表格展示）</w:t>
      </w:r>
    </w:p>
    <w:p>
      <w:pPr>
        <w:jc w:val="center"/>
      </w:pPr>
      <w:r>
        <w:rPr>
          <w:rFonts w:ascii="Times New Roman" w:hAnsi="Times New Roman" w:eastAsia="宋体" w:cs="宋体"/>
          <w:i/>
          <w:sz w:val="21"/>
        </w:rPr>
        <w:t>【图6-2 插入位置】请插入：系统 Web 主界面全屏截图（含上传区、原图/预处理预览、右侧可编辑表格）。</w:t>
      </w:r>
    </w:p>
    <w:p>
      <w:pPr>
        <w:jc w:val="center"/>
      </w:pPr>
      <w:r>
        <w:rPr>
          <w:rFonts w:ascii="Times New Roman" w:hAnsi="Times New Roman" w:eastAsia="宋体" w:cs="宋体"/>
          <w:i/>
          <w:sz w:val="21"/>
        </w:rPr>
        <w:t>【图6-3 插入位置】请插入：点击单元格后左侧高亮联动的截图（展示反投影或多边形框选效果）。</w:t>
      </w:r>
    </w:p>
    <w:p>
      <w:pPr>
        <w:spacing w:before="120" w:after="120"/>
      </w:pPr>
      <w:r>
        <w:rPr>
          <w:rFonts w:ascii="Times New Roman" w:hAnsi="Times New Roman" w:eastAsia="黑体" w:cs="黑体"/>
          <w:b/>
          <w:sz w:val="28"/>
        </w:rPr>
        <w:t>6.7　算法归纳、消融讨论、性能瓶颈与可维护性</w:t>
      </w:r>
    </w:p>
    <w:p>
      <w:pPr>
        <w:spacing w:line="360" w:lineRule="auto" w:after="120"/>
        <w:ind w:firstLine="480"/>
      </w:pPr>
      <w:r>
        <w:rPr>
          <w:rFonts w:ascii="Times New Roman" w:hAnsi="Times New Roman" w:eastAsia="宋体" w:cs="宋体"/>
          <w:sz w:val="24"/>
        </w:rPr>
        <w:t>算法层面，检测与识别由 PaddleOCR 深度模型承担，角度分类器改善旋转样本；几何与表格线部分由 OpenCV 经典算子承担，负责把输入变换到模型友好域；结构歧义由多路径评分与PaddleX</w:t>
      </w:r>
      <w:r>
        <w:rPr>
          <w:rFonts w:ascii="Times New Roman" w:hAnsi="Times New Roman" w:eastAsia="宋体" w:cs="宋体"/>
          <w:sz w:val="24"/>
          <w:vertAlign w:val="superscript"/>
        </w:rPr>
        <w:t>[2]</w:t>
      </w:r>
      <w:r>
        <w:rPr>
          <w:rFonts w:ascii="Times New Roman" w:hAnsi="Times New Roman" w:eastAsia="宋体" w:cs="宋体"/>
          <w:sz w:val="24"/>
        </w:rPr>
        <w:t>兜底消化。三者分工使系统兼具数据驱动与可解释规则的优点。</w:t>
      </w:r>
    </w:p>
    <w:p>
      <w:pPr>
        <w:spacing w:line="360" w:lineRule="auto" w:after="120"/>
        <w:ind w:firstLine="480"/>
      </w:pPr>
      <w:r>
        <w:rPr>
          <w:rFonts w:ascii="Times New Roman" w:hAnsi="Times New Roman" w:eastAsia="宋体" w:cs="宋体"/>
          <w:sz w:val="24"/>
        </w:rPr>
        <w:t>消融上，可分别关闭：白纸裁切、透视校正、二次聚焦、线结构分支、PaddleX 兜底、数字补识别，观察各模块在 B 类斜拍样本上的分数变化。经验上，斜拍样本对透视与聚焦更敏感；截图样本对聚类主路径更友好。</w:t>
      </w:r>
    </w:p>
    <w:p>
      <w:pPr>
        <w:spacing w:line="360" w:lineRule="auto" w:after="120"/>
        <w:ind w:firstLine="480"/>
      </w:pPr>
      <w:r>
        <w:rPr>
          <w:rFonts w:ascii="Times New Roman" w:hAnsi="Times New Roman" w:eastAsia="宋体" w:cs="宋体"/>
          <w:sz w:val="24"/>
        </w:rPr>
        <w:t>性能方面，CPU 推理受线程数、模型加载缓存与图像分辨率影响显著；PaddleX 首次调用可能触发较重的模型准备，应在论文中如实说明并给出冷启动与热启动两次计时。内存方面，Base64 预览图会放大 JSON 体积，若部署到弱网环境可改为对象存储外链。</w:t>
      </w:r>
    </w:p>
    <w:p>
      <w:pPr>
        <w:spacing w:line="360" w:lineRule="auto" w:after="120"/>
        <w:ind w:firstLine="480"/>
      </w:pPr>
      <w:r>
        <w:rPr>
          <w:rFonts w:ascii="Times New Roman" w:hAnsi="Times New Roman" w:eastAsia="宋体" w:cs="宋体"/>
          <w:sz w:val="24"/>
        </w:rPr>
        <w:t>可维护性方面，tests 目录下的 unittest 用例为回归提供抓手；建议在持续集成中启用同一命令，以避免依赖升级引入静默行为变化。论文答辩材料中可再次附录测试通过截图，与第6.3节文字相互印证。</w:t>
      </w:r>
    </w:p>
    <w:p>
      <w:pPr>
        <w:spacing w:before="240" w:after="120"/>
      </w:pPr>
      <w:r>
        <w:rPr>
          <w:rFonts w:ascii="Times New Roman" w:hAnsi="Times New Roman" w:eastAsia="黑体" w:cs="黑体"/>
          <w:b/>
          <w:sz w:val="32"/>
        </w:rPr>
        <w:t>第7章　总结与展望</w:t>
      </w:r>
    </w:p>
    <w:p>
      <w:pPr>
        <w:spacing w:line="360" w:lineRule="auto" w:after="120"/>
        <w:ind w:firstLine="480"/>
      </w:pPr>
      <w:r>
        <w:rPr>
          <w:rFonts w:ascii="Times New Roman" w:hAnsi="Times New Roman" w:eastAsia="宋体" w:cs="宋体"/>
          <w:sz w:val="24"/>
        </w:rPr>
        <w:t>本文完成了面向学生成绩单场景的端到端识别系统，涵盖预处理、OCR、多路径表格恢复、解析纠错与前后端联调。不足之处在于：极端反光、严重卷曲、手写批注等样本仍具挑战；PaddleX</w:t>
      </w:r>
      <w:r>
        <w:rPr>
          <w:rFonts w:ascii="Times New Roman" w:hAnsi="Times New Roman" w:eastAsia="宋体" w:cs="宋体"/>
          <w:sz w:val="24"/>
          <w:vertAlign w:val="superscript"/>
        </w:rPr>
        <w:t>[2]</w:t>
      </w:r>
      <w:r>
        <w:rPr>
          <w:rFonts w:ascii="Times New Roman" w:hAnsi="Times New Roman" w:eastAsia="宋体" w:cs="宋体"/>
          <w:sz w:val="24"/>
        </w:rPr>
        <w:t>兜底路径计算开销较大。后续可探索轻量表格 Transformer、主动学习筛选难例，以及与教务 API 的直连同步</w:t>
      </w:r>
      <w:r>
        <w:rPr>
          <w:rFonts w:ascii="Times New Roman" w:hAnsi="Times New Roman" w:eastAsia="宋体" w:cs="宋体"/>
          <w:sz w:val="24"/>
          <w:vertAlign w:val="superscript"/>
        </w:rPr>
        <w:t>[5]</w:t>
      </w:r>
      <w:r>
        <w:rPr>
          <w:rFonts w:ascii="Times New Roman" w:hAnsi="Times New Roman" w:eastAsia="宋体" w:cs="宋体"/>
          <w:sz w:val="24"/>
        </w:rPr>
        <w:t>。</w:t>
      </w:r>
    </w:p>
    <w:p>
      <w:r>
        <w:br w:type="page"/>
      </w:r>
    </w:p>
    <w:p>
      <w:pPr>
        <w:spacing w:before="240" w:after="120"/>
      </w:pPr>
      <w:r>
        <w:rPr>
          <w:rFonts w:ascii="Times New Roman" w:hAnsi="Times New Roman" w:eastAsia="黑体" w:cs="黑体"/>
          <w:b/>
          <w:sz w:val="32"/>
        </w:rPr>
        <w:t>参考文献</w:t>
      </w:r>
    </w:p>
    <w:p>
      <w:pPr>
        <w:spacing w:line="360" w:lineRule="auto"/>
        <w:ind w:firstLine="0"/>
      </w:pPr>
      <w:r>
        <w:rPr>
          <w:rFonts w:ascii="Times New Roman" w:hAnsi="Times New Roman" w:eastAsia="宋体" w:cs="宋体"/>
          <w:sz w:val="24"/>
        </w:rPr>
        <w:t>[1] 百度飞桨. PaddleOCR 文档与模型库[EB/OL]. https://github.com/PaddlePaddle/PaddleOCR （项目默认 OCR 推理与模型说明）</w:t>
      </w:r>
    </w:p>
    <w:p>
      <w:pPr>
        <w:spacing w:line="360" w:lineRule="auto"/>
        <w:ind w:firstLine="0"/>
      </w:pPr>
      <w:r>
        <w:rPr>
          <w:rFonts w:ascii="Times New Roman" w:hAnsi="Times New Roman" w:eastAsia="宋体" w:cs="宋体"/>
          <w:sz w:val="24"/>
        </w:rPr>
        <w:t>[2] 百度飞桨. PaddleX 文档与表格识别流水线[EB/OL]. https://github.com/PaddlePaddle/PaddleX （table_recognition 等能力说明）</w:t>
      </w:r>
    </w:p>
    <w:p>
      <w:pPr>
        <w:spacing w:line="360" w:lineRule="auto"/>
        <w:ind w:firstLine="0"/>
      </w:pPr>
      <w:r>
        <w:rPr>
          <w:rFonts w:ascii="Times New Roman" w:hAnsi="Times New Roman" w:eastAsia="宋体" w:cs="宋体"/>
          <w:sz w:val="24"/>
        </w:rPr>
        <w:t>[3] Bradski G, Kaehler A. Learning OpenCV: Computer Vision with the OpenCV Library[M]. Sebastopol: O'Reilly Media, 2008.</w:t>
      </w:r>
    </w:p>
    <w:p>
      <w:pPr>
        <w:spacing w:line="360" w:lineRule="auto"/>
        <w:ind w:firstLine="0"/>
      </w:pPr>
      <w:r>
        <w:rPr>
          <w:rFonts w:ascii="Times New Roman" w:hAnsi="Times New Roman" w:eastAsia="宋体" w:cs="宋体"/>
          <w:sz w:val="24"/>
        </w:rPr>
        <w:t>[4] Ramírez S. FastAPI documentation[EB/OL]. https://fastapi.tiangolo.com/ ; Encode OSS Ltd. Uvicorn documentation[EB/OL]. https://www.uvicorn.org/ （与 requirements 中 fastapi、uvicorn 对应）</w:t>
      </w:r>
    </w:p>
    <w:p>
      <w:pPr>
        <w:spacing w:line="360" w:lineRule="auto"/>
        <w:ind w:firstLine="0"/>
      </w:pPr>
      <w:r>
        <w:rPr>
          <w:rFonts w:ascii="Times New Roman" w:hAnsi="Times New Roman" w:eastAsia="宋体" w:cs="宋体"/>
          <w:sz w:val="24"/>
        </w:rPr>
        <w:t>[5] Zhong X, ShafieiBavani E, Jimeno-Yepes A. Image-based table recognition: data, model, and evaluation[C]//Computer Vision—ECCV 2020. Lecture Notes in Computer Science, Vol. 12366. Cham: Springer, 2020: 564-580. （表格图像→结构化 HTML 等问题的经典工作，与 PaddleX 表格场景相关）</w:t>
      </w:r>
    </w:p>
    <w:p>
      <w:pPr>
        <w:spacing w:line="360" w:lineRule="auto"/>
        <w:ind w:firstLine="0"/>
      </w:pPr>
      <w:r>
        <w:rPr>
          <w:rFonts w:ascii="Times New Roman" w:hAnsi="Times New Roman" w:eastAsia="宋体" w:cs="宋体"/>
          <w:sz w:val="24"/>
        </w:rPr>
        <w:t>[6] OpenCV Team. OpenCV documentation[EB/OL]. https://docs.opencv.org/4.x/ （与 opencv-python 文档一致）</w:t>
      </w:r>
    </w:p>
    <w:p>
      <w:pPr>
        <w:spacing w:line="360" w:lineRule="auto"/>
        <w:ind w:firstLine="0"/>
      </w:pPr>
      <w:r>
        <w:rPr>
          <w:rFonts w:ascii="Times New Roman" w:hAnsi="Times New Roman" w:eastAsia="宋体" w:cs="宋体"/>
          <w:sz w:val="24"/>
        </w:rPr>
        <w:t>[7] 百度飞桨. PaddlePaddle 官方文档[EB/OL]. https://www.paddlepaddle.org.cn/documentation/docs/zh/guides/index_cn.html （与 paddlepaddle 依赖对应）</w:t>
      </w:r>
    </w:p>
    <w:p>
      <w:pPr>
        <w:spacing w:line="360" w:lineRule="auto"/>
        <w:ind w:firstLine="0"/>
      </w:pPr>
      <w:r>
        <w:rPr>
          <w:rFonts w:ascii="Times New Roman" w:hAnsi="Times New Roman" w:eastAsia="宋体" w:cs="宋体"/>
          <w:sz w:val="24"/>
        </w:rPr>
        <w:t>[8] Shi B, Bai X, Yao C. An end-to-end trainable neural network for image-based sequence recognition and its application to scene text recognition[J]. IEEE Transactions on Pattern Analysis and Machine Intelligence, 2017, 39(11): 2298-2304.</w:t>
      </w:r>
    </w:p>
    <w:p>
      <w:pPr>
        <w:spacing w:line="360" w:lineRule="auto"/>
        <w:ind w:firstLine="0"/>
      </w:pPr>
      <w:r>
        <w:rPr>
          <w:rFonts w:ascii="Times New Roman" w:hAnsi="Times New Roman" w:eastAsia="宋体" w:cs="宋体"/>
          <w:sz w:val="24"/>
        </w:rPr>
        <w:t>[9] Liao M, Wan Z, Yao C, et al. Real-time scene text detection with differentiable binarization[C]//Proceedings of the AAAI Conference on Artificial Intelligence. 2020, 34(07): 11474-11481.</w:t>
      </w:r>
    </w:p>
    <w:p>
      <w:pPr>
        <w:spacing w:line="360" w:lineRule="auto"/>
        <w:ind w:firstLine="0"/>
      </w:pPr>
      <w:r>
        <w:rPr>
          <w:rFonts w:ascii="Times New Roman" w:hAnsi="Times New Roman" w:eastAsia="宋体" w:cs="宋体"/>
          <w:sz w:val="24"/>
        </w:rPr>
        <w:t>[10] openpyxl development team. openpyxl documentation[EB/OL]. https://openpyxl.readthedocs.io/en/stable/ （与 requirements 中 openpyxl 对应）</w:t>
      </w:r>
    </w:p>
    <w:p>
      <w:pPr>
        <w:spacing w:line="360" w:lineRule="auto"/>
        <w:ind w:firstLine="0"/>
      </w:pPr>
      <w:r>
        <w:rPr>
          <w:rFonts w:ascii="Times New Roman" w:hAnsi="Times New Roman" w:eastAsia="宋体" w:cs="宋体"/>
          <w:sz w:val="24"/>
        </w:rPr>
        <w:t>[11] Richardson L. Beautiful Soup documentation[EB/OL]. https://www.crummy.com/software/BeautifulSoup/bs4/doc/ ; lxml.de. lxml - XML and HTML with Python[EB/OL]. https://lxml.de/ （与 beautifulsoup4、lxml 依赖对应）</w:t>
      </w:r>
    </w:p>
    <w:p/>
    <w:p>
      <w:pPr>
        <w:spacing w:before="240" w:after="120"/>
      </w:pPr>
      <w:r>
        <w:rPr>
          <w:rFonts w:ascii="Times New Roman" w:hAnsi="Times New Roman" w:eastAsia="黑体" w:cs="黑体"/>
          <w:b/>
          <w:sz w:val="32"/>
        </w:rPr>
        <w:t>致　谢</w:t>
      </w:r>
    </w:p>
    <w:p>
      <w:pPr>
        <w:spacing w:line="360" w:lineRule="auto" w:after="120"/>
        <w:ind w:firstLine="480"/>
      </w:pPr>
      <w:r>
        <w:rPr>
          <w:rFonts w:ascii="Times New Roman" w:hAnsi="Times New Roman" w:eastAsia="宋体" w:cs="宋体"/>
          <w:sz w:val="24"/>
        </w:rPr>
        <w:t>感谢上海海洋大学提供的培养平台，感谢指导老师在选题、研究与论文撰写过程中给予的悉心指导，感谢同学与开源社区在项目依赖与资料查阅方面提供的帮助。</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