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8FA6259" w:rsidR="00167594" w:rsidRDefault="133111A4" w:rsidP="1A8843ED">
      <w:pPr>
        <w:spacing w:line="240" w:lineRule="auto"/>
        <w:rPr>
          <w:b/>
          <w:bCs/>
        </w:rPr>
      </w:pPr>
      <w:r w:rsidRPr="1A8843ED">
        <w:rPr>
          <w:b/>
          <w:bCs/>
        </w:rPr>
        <w:t>Introduction</w:t>
      </w:r>
    </w:p>
    <w:p w14:paraId="7506F7CB" w14:textId="539D3EC9" w:rsidR="1A8843ED" w:rsidRDefault="73B05AC2" w:rsidP="1A8843ED">
      <w:pPr>
        <w:spacing w:line="240" w:lineRule="auto"/>
      </w:pPr>
      <w:r>
        <w:t xml:space="preserve">Spike-ins are RNA transcripts </w:t>
      </w:r>
      <w:r w:rsidR="744B4651">
        <w:t>of known sequ</w:t>
      </w:r>
      <w:r w:rsidR="5F60D3AD">
        <w:t>e</w:t>
      </w:r>
      <w:r w:rsidR="744B4651">
        <w:t xml:space="preserve">nces. It was first </w:t>
      </w:r>
      <w:r>
        <w:t>used to calibrate variations in RNA hybridization assays.</w:t>
      </w:r>
      <w:r w:rsidR="449622AF">
        <w:t xml:space="preserve"> Now, it is also adapted to be used in sequencing.</w:t>
      </w:r>
      <w:r>
        <w:t xml:space="preserve"> </w:t>
      </w:r>
      <w:r w:rsidR="32A79438">
        <w:t>In the Piantadosi Lab, spike-in</w:t>
      </w:r>
      <w:r w:rsidR="34436499">
        <w:t>s</w:t>
      </w:r>
      <w:r w:rsidR="32A79438">
        <w:t xml:space="preserve"> are</w:t>
      </w:r>
      <w:r>
        <w:t xml:space="preserve"> used as </w:t>
      </w:r>
      <w:r w:rsidR="7D7545C8">
        <w:t>quality</w:t>
      </w:r>
      <w:r>
        <w:t xml:space="preserve"> control. During the preparation step, each sample is assigned </w:t>
      </w:r>
      <w:r w:rsidR="3C18C228">
        <w:t xml:space="preserve">and added </w:t>
      </w:r>
      <w:r>
        <w:t xml:space="preserve">a specific spike-in. When the sequencing results come out, if the highest-read spike-in matches the assigned spike-in, the sample </w:t>
      </w:r>
      <w:r w:rsidR="0FC73FD1">
        <w:t>i</w:t>
      </w:r>
      <w:r>
        <w:t>s sequenced correctly.</w:t>
      </w:r>
    </w:p>
    <w:p w14:paraId="06037477" w14:textId="0EA890E7" w:rsidR="1BAE03E2" w:rsidRDefault="1BAE03E2" w:rsidP="4375D157">
      <w:pPr>
        <w:spacing w:line="240" w:lineRule="auto"/>
      </w:pPr>
      <w:r>
        <w:t xml:space="preserve">However, </w:t>
      </w:r>
      <w:r w:rsidR="4774E641">
        <w:t>a cutoff for the number of spike-in read</w:t>
      </w:r>
      <w:r w:rsidR="00052492">
        <w:t>s</w:t>
      </w:r>
      <w:r w:rsidR="4774E641">
        <w:t xml:space="preserve"> has not been set. The Piantad</w:t>
      </w:r>
      <w:r w:rsidR="5AEAE38C">
        <w:t>osi</w:t>
      </w:r>
      <w:r w:rsidR="4774E641">
        <w:t xml:space="preserve"> Lab has only been </w:t>
      </w:r>
      <w:r w:rsidR="5981EFB8">
        <w:t>checking whether the assigned spike-in is detected</w:t>
      </w:r>
      <w:r w:rsidR="451D5CF7">
        <w:t xml:space="preserve"> and marking </w:t>
      </w:r>
      <w:r w:rsidR="01890E50">
        <w:t>it as confirmed on the Sequentially Sequenced SARS Samples Sheet (SS</w:t>
      </w:r>
      <w:r w:rsidR="7DDFDDE6">
        <w:t>SSS) on Microsoft Teams</w:t>
      </w:r>
      <w:r w:rsidR="5981EFB8">
        <w:t xml:space="preserve">, despite </w:t>
      </w:r>
      <w:r w:rsidR="365C497F">
        <w:t xml:space="preserve">there </w:t>
      </w:r>
      <w:r w:rsidR="1B53038F">
        <w:t xml:space="preserve">may be </w:t>
      </w:r>
      <w:r w:rsidR="3F3AF8B5">
        <w:t>other spike-ins detected with higher reads.</w:t>
      </w:r>
    </w:p>
    <w:p w14:paraId="6F744E72" w14:textId="73CBB4A6" w:rsidR="48CDBDBE" w:rsidRDefault="48CDBDBE" w:rsidP="054654CC">
      <w:pPr>
        <w:spacing w:line="240" w:lineRule="auto"/>
      </w:pPr>
      <w:r>
        <w:t xml:space="preserve">Therefore, the goal of this project is to find a cutoff for </w:t>
      </w:r>
      <w:r w:rsidR="37112780">
        <w:t>the number of spike-in read</w:t>
      </w:r>
      <w:r w:rsidR="00052492">
        <w:t>s</w:t>
      </w:r>
      <w:r w:rsidR="37112780">
        <w:t xml:space="preserve">. </w:t>
      </w:r>
      <w:r w:rsidR="68651106">
        <w:t xml:space="preserve">Along the way, </w:t>
      </w:r>
      <w:r w:rsidR="656B5A51">
        <w:t xml:space="preserve">a few </w:t>
      </w:r>
      <w:r w:rsidR="68651106">
        <w:t xml:space="preserve">questions </w:t>
      </w:r>
      <w:r w:rsidR="20A35FD4">
        <w:t xml:space="preserve">come up and </w:t>
      </w:r>
      <w:r w:rsidR="68651106">
        <w:t xml:space="preserve">are also </w:t>
      </w:r>
      <w:r w:rsidR="7FF5D26C">
        <w:t xml:space="preserve">investigated: </w:t>
      </w:r>
    </w:p>
    <w:p w14:paraId="04C073E1" w14:textId="7307F971" w:rsidR="355C8CE6" w:rsidRDefault="355C8CE6" w:rsidP="054654CC">
      <w:pPr>
        <w:pStyle w:val="ListParagraph"/>
        <w:numPr>
          <w:ilvl w:val="0"/>
          <w:numId w:val="2"/>
        </w:numPr>
        <w:spacing w:line="240" w:lineRule="auto"/>
      </w:pPr>
      <w:r>
        <w:t>Are there any spike-in aliquots with low concentrations?</w:t>
      </w:r>
    </w:p>
    <w:p w14:paraId="30C83957" w14:textId="39B5B88F" w:rsidR="55B601B3" w:rsidRDefault="55B601B3" w:rsidP="1A8843ED">
      <w:pPr>
        <w:pStyle w:val="ListParagraph"/>
        <w:numPr>
          <w:ilvl w:val="0"/>
          <w:numId w:val="2"/>
        </w:numPr>
        <w:spacing w:line="240" w:lineRule="auto"/>
      </w:pPr>
      <w:r>
        <w:t>What is the upper cutoff for the read difference between spike-ins with the highest read and the second-highest read?</w:t>
      </w:r>
    </w:p>
    <w:p w14:paraId="1A2064E9" w14:textId="2F6BC786" w:rsidR="55B601B3" w:rsidRDefault="5F88F60F" w:rsidP="1A8843ED">
      <w:pPr>
        <w:pStyle w:val="ListParagraph"/>
        <w:numPr>
          <w:ilvl w:val="0"/>
          <w:numId w:val="2"/>
        </w:numPr>
        <w:spacing w:line="240" w:lineRule="auto"/>
      </w:pPr>
      <w:r>
        <w:t>Is</w:t>
      </w:r>
      <w:r w:rsidR="55B601B3">
        <w:t xml:space="preserve"> there any </w:t>
      </w:r>
      <w:r w:rsidR="0AC2D22C">
        <w:t xml:space="preserve">cross-contamination </w:t>
      </w:r>
      <w:r w:rsidR="7EA054E9">
        <w:t xml:space="preserve">of spike-ins </w:t>
      </w:r>
      <w:r w:rsidR="6650137E">
        <w:t>in a batch</w:t>
      </w:r>
      <w:r w:rsidR="55B601B3">
        <w:t>?</w:t>
      </w:r>
    </w:p>
    <w:p w14:paraId="7FB6918A" w14:textId="55D44736" w:rsidR="1A8843ED" w:rsidRDefault="1A8843ED" w:rsidP="1A8843ED">
      <w:pPr>
        <w:spacing w:line="240" w:lineRule="auto"/>
      </w:pPr>
    </w:p>
    <w:p w14:paraId="6A5EB734" w14:textId="03373879" w:rsidR="133111A4" w:rsidRDefault="133111A4" w:rsidP="1A8843ED">
      <w:pPr>
        <w:spacing w:line="240" w:lineRule="auto"/>
        <w:rPr>
          <w:b/>
          <w:bCs/>
        </w:rPr>
      </w:pPr>
      <w:r w:rsidRPr="1A8843ED">
        <w:rPr>
          <w:b/>
          <w:bCs/>
        </w:rPr>
        <w:t>Methods</w:t>
      </w:r>
    </w:p>
    <w:p w14:paraId="30CC81C6" w14:textId="6C0AD53E" w:rsidR="1A8843ED" w:rsidRDefault="0727D781" w:rsidP="1A8843ED">
      <w:pPr>
        <w:spacing w:line="240" w:lineRule="auto"/>
      </w:pPr>
      <w:r>
        <w:t xml:space="preserve">A total of 1606 Covid (n = 1295), Dengue (n = 173), and BWH (n = 138) samples </w:t>
      </w:r>
      <w:r w:rsidR="14065A89">
        <w:t xml:space="preserve">were </w:t>
      </w:r>
      <w:r>
        <w:t xml:space="preserve">used. </w:t>
      </w:r>
      <w:r w:rsidR="41DA84E4">
        <w:t>Spike-in count</w:t>
      </w:r>
      <w:r w:rsidR="3D203C1E">
        <w:t xml:space="preserve"> information</w:t>
      </w:r>
      <w:r w:rsidR="41DA84E4">
        <w:t xml:space="preserve"> </w:t>
      </w:r>
      <w:r w:rsidR="15A22AEA">
        <w:t xml:space="preserve">was </w:t>
      </w:r>
      <w:r w:rsidR="41DA84E4">
        <w:t>downloaded from DNAnexus, and other information (</w:t>
      </w:r>
      <w:r w:rsidR="647D376F">
        <w:t>e.g.,</w:t>
      </w:r>
      <w:r w:rsidR="41DA84E4">
        <w:t xml:space="preserve"> assigned spike-in</w:t>
      </w:r>
      <w:r w:rsidR="10CEB9C7">
        <w:t>, total reads, etc.</w:t>
      </w:r>
      <w:r w:rsidR="41DA84E4">
        <w:t xml:space="preserve">) </w:t>
      </w:r>
      <w:r w:rsidR="583C9EEB">
        <w:t xml:space="preserve">for each </w:t>
      </w:r>
      <w:r w:rsidR="0D971905">
        <w:t xml:space="preserve">sample </w:t>
      </w:r>
      <w:r w:rsidR="6FCD6051">
        <w:t xml:space="preserve">was </w:t>
      </w:r>
      <w:r w:rsidR="0D971905">
        <w:t>obtained from SSSSS</w:t>
      </w:r>
      <w:r w:rsidR="41DA84E4">
        <w:t xml:space="preserve"> </w:t>
      </w:r>
      <w:r w:rsidR="13312356">
        <w:t xml:space="preserve">on Microsoft Teams. </w:t>
      </w:r>
    </w:p>
    <w:p w14:paraId="490BBF49" w14:textId="3AB32315" w:rsidR="1A8843ED" w:rsidRDefault="7EA26AF0" w:rsidP="1A8843ED">
      <w:pPr>
        <w:spacing w:line="240" w:lineRule="auto"/>
      </w:pPr>
      <w:r>
        <w:t xml:space="preserve">Standardization was performed for calculating both cutoffs. </w:t>
      </w:r>
      <w:r w:rsidR="1BB2BFC4">
        <w:t xml:space="preserve">To </w:t>
      </w:r>
      <w:r w:rsidR="13003C9D">
        <w:t>determin</w:t>
      </w:r>
      <w:r w:rsidR="1ED8A63C">
        <w:t xml:space="preserve">e </w:t>
      </w:r>
      <w:r w:rsidR="13003C9D">
        <w:t>the cutoff for the number of spike-in reads, r</w:t>
      </w:r>
      <w:r w:rsidR="13312356">
        <w:t xml:space="preserve">ead per million (RPM) </w:t>
      </w:r>
      <w:r w:rsidR="79CF1FAE">
        <w:t xml:space="preserve">was used. </w:t>
      </w:r>
      <w:r w:rsidR="29F1A4B7">
        <w:t xml:space="preserve">RPM </w:t>
      </w:r>
      <w:r w:rsidR="5431F727">
        <w:t xml:space="preserve">= </w:t>
      </w:r>
      <w:r w:rsidR="13312356">
        <w:t>highest spike-in reads / total reads * 1000000</w:t>
      </w:r>
      <w:r w:rsidR="7811E1A6">
        <w:t>.</w:t>
      </w:r>
      <w:r w:rsidR="64CF59E3">
        <w:t xml:space="preserve"> </w:t>
      </w:r>
      <w:r w:rsidR="58B17996">
        <w:t xml:space="preserve">To </w:t>
      </w:r>
      <w:r w:rsidR="5AF3A709">
        <w:t>determin</w:t>
      </w:r>
      <w:r w:rsidR="39D8CC58">
        <w:t>e</w:t>
      </w:r>
      <w:r w:rsidR="5AF3A709">
        <w:t xml:space="preserve"> the cutoff for the read difference, </w:t>
      </w:r>
      <w:r w:rsidR="6642C4FF">
        <w:t>the second</w:t>
      </w:r>
      <w:r w:rsidR="00052492">
        <w:t>-</w:t>
      </w:r>
      <w:r w:rsidR="6642C4FF">
        <w:t>highest</w:t>
      </w:r>
      <w:r w:rsidR="00052492">
        <w:t>-</w:t>
      </w:r>
      <w:r w:rsidR="6642C4FF">
        <w:t>to</w:t>
      </w:r>
      <w:r w:rsidR="00052492">
        <w:t>-</w:t>
      </w:r>
      <w:r w:rsidR="6642C4FF">
        <w:t>the</w:t>
      </w:r>
      <w:r w:rsidR="00052492">
        <w:t>-</w:t>
      </w:r>
      <w:r w:rsidR="6642C4FF">
        <w:t>highest spike-in</w:t>
      </w:r>
      <w:r w:rsidR="00052492">
        <w:t>-</w:t>
      </w:r>
      <w:r w:rsidR="13312356">
        <w:t xml:space="preserve">read ratio (SHR) </w:t>
      </w:r>
      <w:r w:rsidR="02746243">
        <w:t xml:space="preserve">was used. SHR </w:t>
      </w:r>
      <w:r w:rsidR="34FD8BFC">
        <w:t>ranges from 0 – 1</w:t>
      </w:r>
      <w:r w:rsidR="20C942ED">
        <w:t xml:space="preserve">. SHR = </w:t>
      </w:r>
      <w:r w:rsidR="13312356">
        <w:t>second highest spike-in reads / highest spike-in reads</w:t>
      </w:r>
      <w:r w:rsidR="432A5259">
        <w:t>.</w:t>
      </w:r>
    </w:p>
    <w:p w14:paraId="3FC20EFC" w14:textId="3C5CA506" w:rsidR="1A8843ED" w:rsidRDefault="39AA178E" w:rsidP="1A8843ED">
      <w:pPr>
        <w:spacing w:line="240" w:lineRule="auto"/>
      </w:pPr>
      <w:r>
        <w:t xml:space="preserve">The </w:t>
      </w:r>
      <w:r w:rsidR="3B24E1E0">
        <w:t>spike-in confirmation status was re-determined for each sample.</w:t>
      </w:r>
      <w:r w:rsidR="66614922">
        <w:t xml:space="preserve"> </w:t>
      </w:r>
      <w:r w:rsidR="02E69313">
        <w:t>S</w:t>
      </w:r>
      <w:r w:rsidR="418B7844">
        <w:t xml:space="preserve">pike-in is confirmed </w:t>
      </w:r>
      <w:r w:rsidR="66614922">
        <w:t>if and only if the highest-read spike-in matche</w:t>
      </w:r>
      <w:r w:rsidR="784EFCBF">
        <w:t>s the assigned spike-in; otherwise, i</w:t>
      </w:r>
      <w:r w:rsidR="20DDEADD">
        <w:t>t is not confirmed.</w:t>
      </w:r>
    </w:p>
    <w:p w14:paraId="44833854" w14:textId="7169A24A" w:rsidR="1A8843ED" w:rsidRDefault="41DA84E4" w:rsidP="1A8843ED">
      <w:pPr>
        <w:spacing w:line="240" w:lineRule="auto"/>
      </w:pPr>
      <w:r>
        <w:t>All analys</w:t>
      </w:r>
      <w:r w:rsidR="023AE3D9">
        <w:t>e</w:t>
      </w:r>
      <w:r>
        <w:t>s w</w:t>
      </w:r>
      <w:r w:rsidR="49B5E523">
        <w:t xml:space="preserve">ere </w:t>
      </w:r>
      <w:r>
        <w:t>done in R.</w:t>
      </w:r>
    </w:p>
    <w:p w14:paraId="37AD8F28" w14:textId="12626D85" w:rsidR="1A8843ED" w:rsidRDefault="1A8843ED" w:rsidP="1A8843ED">
      <w:pPr>
        <w:spacing w:line="240" w:lineRule="auto"/>
      </w:pPr>
    </w:p>
    <w:p w14:paraId="125F6C32" w14:textId="02B16D48" w:rsidR="133111A4" w:rsidRDefault="133111A4" w:rsidP="1A8843ED">
      <w:pPr>
        <w:spacing w:line="240" w:lineRule="auto"/>
      </w:pPr>
      <w:r w:rsidRPr="1A8843ED">
        <w:rPr>
          <w:b/>
          <w:bCs/>
        </w:rPr>
        <w:t>Results</w:t>
      </w:r>
    </w:p>
    <w:p w14:paraId="798D968A" w14:textId="110D0F41" w:rsidR="1A8843ED" w:rsidRDefault="42FEC494" w:rsidP="720A173C">
      <w:pPr>
        <w:spacing w:line="240" w:lineRule="auto"/>
        <w:rPr>
          <w:u w:val="single"/>
        </w:rPr>
      </w:pPr>
      <w:r w:rsidRPr="720A173C">
        <w:rPr>
          <w:u w:val="single"/>
        </w:rPr>
        <w:t xml:space="preserve">RPM </w:t>
      </w:r>
      <w:r w:rsidR="6D047B96" w:rsidRPr="720A173C">
        <w:rPr>
          <w:u w:val="single"/>
        </w:rPr>
        <w:t>c</w:t>
      </w:r>
      <w:r w:rsidRPr="720A173C">
        <w:rPr>
          <w:u w:val="single"/>
        </w:rPr>
        <w:t>utoff</w:t>
      </w:r>
    </w:p>
    <w:p w14:paraId="3A004D9C" w14:textId="1EFE8FA9" w:rsidR="57A16F58" w:rsidRDefault="57A16F58" w:rsidP="720A173C">
      <w:pPr>
        <w:spacing w:line="240" w:lineRule="auto"/>
      </w:pPr>
      <w:r>
        <w:t>Comparing the RPM values between samples and water</w:t>
      </w:r>
      <w:r w:rsidR="0CB1D3E6">
        <w:t xml:space="preserve"> (Figure 1)</w:t>
      </w:r>
      <w:r>
        <w:t xml:space="preserve">, </w:t>
      </w:r>
      <w:r w:rsidR="064B3D82">
        <w:t xml:space="preserve">most water have higher RPM values </w:t>
      </w:r>
      <w:r w:rsidR="48549C87">
        <w:t>within</w:t>
      </w:r>
      <w:r w:rsidR="064B3D82">
        <w:t xml:space="preserve"> </w:t>
      </w:r>
      <w:r w:rsidR="00C25A7A">
        <w:t xml:space="preserve">the </w:t>
      </w:r>
      <w:r w:rsidR="064B3D82">
        <w:t>10,000 – 1,000,000</w:t>
      </w:r>
      <w:r w:rsidR="5FBB4BD8">
        <w:t xml:space="preserve"> range</w:t>
      </w:r>
      <w:r w:rsidR="064B3D82">
        <w:t>.</w:t>
      </w:r>
      <w:r w:rsidR="08BC3C94">
        <w:t xml:space="preserve"> </w:t>
      </w:r>
      <w:r w:rsidR="09776C27">
        <w:t xml:space="preserve">Thus, analysis on determining the RPM cutoff will only </w:t>
      </w:r>
      <w:r w:rsidR="4A8EAA41">
        <w:t>be performed</w:t>
      </w:r>
      <w:r w:rsidR="09776C27">
        <w:t xml:space="preserve"> on samples. Water will </w:t>
      </w:r>
      <w:r w:rsidR="51BD4F7B">
        <w:t>be excluded.</w:t>
      </w:r>
    </w:p>
    <w:p w14:paraId="78053986" w14:textId="3541BF36" w:rsidR="57A16F58" w:rsidRDefault="57A16F58" w:rsidP="720A173C">
      <w:pPr>
        <w:spacing w:line="240" w:lineRule="auto"/>
        <w:rPr>
          <w:b/>
          <w:bCs/>
        </w:rPr>
      </w:pPr>
      <w:r w:rsidRPr="720A173C">
        <w:rPr>
          <w:b/>
          <w:bCs/>
        </w:rPr>
        <w:t>Figure 1.</w:t>
      </w:r>
    </w:p>
    <w:p w14:paraId="0B01C554" w14:textId="53F14695" w:rsidR="0050AB93" w:rsidRDefault="0050AB93" w:rsidP="720A173C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8F5E7EA" wp14:editId="45468B29">
            <wp:extent cx="3597640" cy="2286000"/>
            <wp:effectExtent l="0" t="0" r="0" b="0"/>
            <wp:docPr id="788364957" name="Picture 788364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6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101B" w14:textId="77777777" w:rsidR="00E02312" w:rsidRDefault="00E02312" w:rsidP="720A173C">
      <w:pPr>
        <w:spacing w:line="240" w:lineRule="auto"/>
      </w:pPr>
    </w:p>
    <w:p w14:paraId="519FD415" w14:textId="5A39888E" w:rsidR="00C620BD" w:rsidRDefault="001C51DF" w:rsidP="054654CC">
      <w:pPr>
        <w:spacing w:line="240" w:lineRule="auto"/>
        <w:sectPr w:rsidR="00C620BD" w:rsidSect="006A1E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Looking at samples with confirmed spike-in</w:t>
      </w:r>
      <w:r w:rsidR="00EE54E1">
        <w:t>s</w:t>
      </w:r>
      <w:r>
        <w:t xml:space="preserve">, </w:t>
      </w:r>
      <w:r w:rsidR="00174D9F">
        <w:t>shown in</w:t>
      </w:r>
      <w:r w:rsidR="6B3F114C">
        <w:t xml:space="preserve"> Figure 2 and Table 1,</w:t>
      </w:r>
      <w:r w:rsidR="00FE61D5">
        <w:t xml:space="preserve"> </w:t>
      </w:r>
      <w:r w:rsidR="00D750AA">
        <w:t xml:space="preserve">most of the </w:t>
      </w:r>
      <w:r w:rsidR="0066721C">
        <w:t>samples</w:t>
      </w:r>
      <w:r w:rsidR="00D750AA">
        <w:t xml:space="preserve"> (74.78%)</w:t>
      </w:r>
      <w:r w:rsidR="0066721C">
        <w:t xml:space="preserve"> </w:t>
      </w:r>
      <w:r w:rsidR="00AA2339">
        <w:t>have RPM values within the 100 – 10,000 range.</w:t>
      </w:r>
      <w:r w:rsidR="00A34E92">
        <w:t xml:space="preserve"> </w:t>
      </w:r>
      <w:r w:rsidR="00C25A7A" w:rsidRPr="00C25A7A">
        <w:t>Interestingly</w:t>
      </w:r>
      <w:r w:rsidR="00C25A7A">
        <w:t xml:space="preserve">, </w:t>
      </w:r>
      <w:r w:rsidR="00F642D7">
        <w:t>~20% of the samples have RPM values within the 1 – 100 range. But</w:t>
      </w:r>
      <w:r w:rsidR="00574A50">
        <w:t xml:space="preserve"> a</w:t>
      </w:r>
      <w:r w:rsidR="00B3354A">
        <w:t xml:space="preserve">ccording to Table 2, the 5th percentile </w:t>
      </w:r>
      <w:r w:rsidR="00282E7F">
        <w:t xml:space="preserve">corresponds to </w:t>
      </w:r>
      <w:r w:rsidR="55D67101">
        <w:t>12.41</w:t>
      </w:r>
      <w:r w:rsidR="00282E7F">
        <w:t xml:space="preserve"> RPM. </w:t>
      </w:r>
      <w:r w:rsidR="201156D8">
        <w:t>Hence</w:t>
      </w:r>
      <w:r w:rsidR="00016E01">
        <w:t xml:space="preserve">, the lower cutoff for RPM value should be within </w:t>
      </w:r>
      <w:r w:rsidR="00D725A3">
        <w:t xml:space="preserve">the </w:t>
      </w:r>
      <w:r w:rsidR="00016E01">
        <w:t>12.41 – 100 range</w:t>
      </w:r>
      <w:r w:rsidR="7AC3F8FF">
        <w:t xml:space="preserve">. </w:t>
      </w:r>
    </w:p>
    <w:p w14:paraId="6C08AB1B" w14:textId="6EBFD08E" w:rsidR="6B3F114C" w:rsidRDefault="6B3F114C" w:rsidP="720A173C">
      <w:pPr>
        <w:spacing w:line="240" w:lineRule="auto"/>
        <w:rPr>
          <w:b/>
          <w:bCs/>
        </w:rPr>
      </w:pPr>
      <w:r w:rsidRPr="720A173C">
        <w:rPr>
          <w:b/>
          <w:bCs/>
        </w:rPr>
        <w:t>Figure 2.</w:t>
      </w:r>
    </w:p>
    <w:p w14:paraId="4A0B6B1F" w14:textId="11E85DA4" w:rsidR="6B3F114C" w:rsidRDefault="6B3F114C" w:rsidP="720A173C">
      <w:pPr>
        <w:spacing w:line="240" w:lineRule="auto"/>
      </w:pPr>
      <w:r>
        <w:rPr>
          <w:noProof/>
        </w:rPr>
        <w:drawing>
          <wp:inline distT="0" distB="0" distL="0" distR="0" wp14:anchorId="1B876557" wp14:editId="043816E3">
            <wp:extent cx="2937933" cy="1866811"/>
            <wp:effectExtent l="0" t="0" r="0" b="635"/>
            <wp:docPr id="1560607824" name="Picture 1560607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682" cy="188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9A22" w14:textId="41FFE74A" w:rsidR="6B3F114C" w:rsidRDefault="6B3F114C" w:rsidP="720A173C">
      <w:pPr>
        <w:spacing w:line="240" w:lineRule="auto"/>
        <w:rPr>
          <w:b/>
          <w:bCs/>
        </w:rPr>
      </w:pPr>
      <w:r w:rsidRPr="720A173C">
        <w:rPr>
          <w:b/>
          <w:bCs/>
        </w:rPr>
        <w:t>Table 1.</w:t>
      </w:r>
    </w:p>
    <w:tbl>
      <w:tblPr>
        <w:tblStyle w:val="TableGrid"/>
        <w:tblW w:w="3360" w:type="dxa"/>
        <w:tblLayout w:type="fixed"/>
        <w:tblLook w:val="06A0" w:firstRow="1" w:lastRow="0" w:firstColumn="1" w:lastColumn="0" w:noHBand="1" w:noVBand="1"/>
      </w:tblPr>
      <w:tblGrid>
        <w:gridCol w:w="1920"/>
        <w:gridCol w:w="1440"/>
      </w:tblGrid>
      <w:tr w:rsidR="720A173C" w14:paraId="06301712" w14:textId="77777777" w:rsidTr="054654CC">
        <w:trPr>
          <w:trHeight w:val="300"/>
        </w:trPr>
        <w:tc>
          <w:tcPr>
            <w:tcW w:w="1920" w:type="dxa"/>
          </w:tcPr>
          <w:p w14:paraId="7DA421D9" w14:textId="3619662E" w:rsidR="6B3F114C" w:rsidRDefault="6B3F114C" w:rsidP="720A173C">
            <w:pPr>
              <w:rPr>
                <w:b/>
                <w:bCs/>
              </w:rPr>
            </w:pPr>
            <w:r w:rsidRPr="720A173C">
              <w:rPr>
                <w:b/>
                <w:bCs/>
              </w:rPr>
              <w:t>RPM Range</w:t>
            </w:r>
          </w:p>
        </w:tc>
        <w:tc>
          <w:tcPr>
            <w:tcW w:w="1440" w:type="dxa"/>
          </w:tcPr>
          <w:p w14:paraId="35B0B278" w14:textId="6F6B331D" w:rsidR="6B3F114C" w:rsidRDefault="6B3F114C" w:rsidP="720A173C">
            <w:pPr>
              <w:rPr>
                <w:b/>
                <w:bCs/>
              </w:rPr>
            </w:pPr>
            <w:r w:rsidRPr="720A173C">
              <w:rPr>
                <w:b/>
                <w:bCs/>
              </w:rPr>
              <w:t>Percentage</w:t>
            </w:r>
          </w:p>
        </w:tc>
      </w:tr>
      <w:tr w:rsidR="720A173C" w14:paraId="4E06E065" w14:textId="77777777" w:rsidTr="054654CC">
        <w:trPr>
          <w:trHeight w:val="300"/>
        </w:trPr>
        <w:tc>
          <w:tcPr>
            <w:tcW w:w="1920" w:type="dxa"/>
          </w:tcPr>
          <w:p w14:paraId="7B4CD855" w14:textId="3CB2FAEC" w:rsidR="6B3F114C" w:rsidRDefault="6B3F114C" w:rsidP="720A173C">
            <w:r>
              <w:t>1-100</w:t>
            </w:r>
          </w:p>
        </w:tc>
        <w:tc>
          <w:tcPr>
            <w:tcW w:w="1440" w:type="dxa"/>
          </w:tcPr>
          <w:p w14:paraId="29CEEC60" w14:textId="008E7DF8" w:rsidR="6B3F114C" w:rsidRDefault="6B3F114C" w:rsidP="720A173C">
            <w:r>
              <w:t>20.45%</w:t>
            </w:r>
          </w:p>
        </w:tc>
      </w:tr>
      <w:tr w:rsidR="720A173C" w14:paraId="3C378EE2" w14:textId="77777777" w:rsidTr="054654CC">
        <w:trPr>
          <w:trHeight w:val="300"/>
        </w:trPr>
        <w:tc>
          <w:tcPr>
            <w:tcW w:w="1920" w:type="dxa"/>
          </w:tcPr>
          <w:p w14:paraId="57A0820A" w14:textId="10224BDF" w:rsidR="6B3F114C" w:rsidRDefault="6B3F114C" w:rsidP="720A173C">
            <w:r>
              <w:t>100-1000</w:t>
            </w:r>
          </w:p>
        </w:tc>
        <w:tc>
          <w:tcPr>
            <w:tcW w:w="1440" w:type="dxa"/>
          </w:tcPr>
          <w:p w14:paraId="4DDA1367" w14:textId="007AFD2D" w:rsidR="6B3F114C" w:rsidRDefault="6B3F114C" w:rsidP="720A173C">
            <w:r>
              <w:t>44.46%</w:t>
            </w:r>
          </w:p>
        </w:tc>
      </w:tr>
      <w:tr w:rsidR="720A173C" w14:paraId="2D27672D" w14:textId="77777777" w:rsidTr="054654CC">
        <w:trPr>
          <w:trHeight w:val="300"/>
        </w:trPr>
        <w:tc>
          <w:tcPr>
            <w:tcW w:w="1920" w:type="dxa"/>
          </w:tcPr>
          <w:p w14:paraId="42FF73B1" w14:textId="3279D646" w:rsidR="6B3F114C" w:rsidRDefault="6B3F114C" w:rsidP="720A173C">
            <w:r>
              <w:t>1000-10000</w:t>
            </w:r>
          </w:p>
        </w:tc>
        <w:tc>
          <w:tcPr>
            <w:tcW w:w="1440" w:type="dxa"/>
          </w:tcPr>
          <w:p w14:paraId="62FA31DB" w14:textId="768F1671" w:rsidR="6B3F114C" w:rsidRDefault="6B3F114C" w:rsidP="720A173C">
            <w:r>
              <w:t>30.32%</w:t>
            </w:r>
          </w:p>
        </w:tc>
      </w:tr>
      <w:tr w:rsidR="720A173C" w14:paraId="0F42CD99" w14:textId="77777777" w:rsidTr="054654CC">
        <w:trPr>
          <w:trHeight w:val="300"/>
        </w:trPr>
        <w:tc>
          <w:tcPr>
            <w:tcW w:w="1920" w:type="dxa"/>
          </w:tcPr>
          <w:p w14:paraId="5433B63C" w14:textId="0538FBC6" w:rsidR="6B3F114C" w:rsidRDefault="6B3F114C" w:rsidP="720A173C">
            <w:r>
              <w:t>10000-100000</w:t>
            </w:r>
          </w:p>
        </w:tc>
        <w:tc>
          <w:tcPr>
            <w:tcW w:w="1440" w:type="dxa"/>
          </w:tcPr>
          <w:p w14:paraId="42C11766" w14:textId="09EDF1CC" w:rsidR="6B3F114C" w:rsidRDefault="6B3F114C" w:rsidP="720A173C">
            <w:r>
              <w:t>4.28%</w:t>
            </w:r>
          </w:p>
        </w:tc>
      </w:tr>
      <w:tr w:rsidR="720A173C" w14:paraId="066C223B" w14:textId="77777777" w:rsidTr="054654CC">
        <w:trPr>
          <w:trHeight w:val="300"/>
        </w:trPr>
        <w:tc>
          <w:tcPr>
            <w:tcW w:w="1920" w:type="dxa"/>
          </w:tcPr>
          <w:p w14:paraId="56E71E70" w14:textId="052C044B" w:rsidR="6B3F114C" w:rsidRDefault="6B3F114C" w:rsidP="720A173C">
            <w:r>
              <w:t>100000-1000000</w:t>
            </w:r>
          </w:p>
        </w:tc>
        <w:tc>
          <w:tcPr>
            <w:tcW w:w="1440" w:type="dxa"/>
          </w:tcPr>
          <w:p w14:paraId="1B9CAAB7" w14:textId="50748E77" w:rsidR="6B3F114C" w:rsidRDefault="6B3F114C" w:rsidP="720A173C">
            <w:r>
              <w:t>0.49%</w:t>
            </w:r>
          </w:p>
        </w:tc>
      </w:tr>
    </w:tbl>
    <w:p w14:paraId="7B9807E3" w14:textId="77777777" w:rsidR="00C620BD" w:rsidRDefault="00C620BD">
      <w:pPr>
        <w:sectPr w:rsidR="00C620BD" w:rsidSect="006A1E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DA9D418" w14:textId="58A3A279" w:rsidR="720A173C" w:rsidRPr="00CD0D96" w:rsidRDefault="00CD0D96">
      <w:pPr>
        <w:rPr>
          <w:b/>
          <w:bCs/>
        </w:rPr>
      </w:pPr>
      <w:r w:rsidRPr="00CD0D96">
        <w:rPr>
          <w:b/>
          <w:bCs/>
        </w:rPr>
        <w:t>Table 2.</w:t>
      </w:r>
    </w:p>
    <w:tbl>
      <w:tblPr>
        <w:tblStyle w:val="TableGrid"/>
        <w:tblW w:w="2040" w:type="dxa"/>
        <w:tblLook w:val="04A0" w:firstRow="1" w:lastRow="0" w:firstColumn="1" w:lastColumn="0" w:noHBand="0" w:noVBand="1"/>
      </w:tblPr>
      <w:tblGrid>
        <w:gridCol w:w="1230"/>
        <w:gridCol w:w="810"/>
      </w:tblGrid>
      <w:tr w:rsidR="002F246F" w14:paraId="1E9E2350" w14:textId="77777777" w:rsidTr="054654CC">
        <w:tc>
          <w:tcPr>
            <w:tcW w:w="1230" w:type="dxa"/>
          </w:tcPr>
          <w:p w14:paraId="7A1F8796" w14:textId="29EEC666" w:rsidR="002F246F" w:rsidRPr="00E02312" w:rsidRDefault="002F246F">
            <w:pPr>
              <w:rPr>
                <w:b/>
                <w:bCs/>
              </w:rPr>
            </w:pPr>
            <w:r w:rsidRPr="00E02312">
              <w:rPr>
                <w:b/>
                <w:bCs/>
              </w:rPr>
              <w:t>Percentile</w:t>
            </w:r>
          </w:p>
        </w:tc>
        <w:tc>
          <w:tcPr>
            <w:tcW w:w="810" w:type="dxa"/>
          </w:tcPr>
          <w:p w14:paraId="26A18CAA" w14:textId="0AC8973C" w:rsidR="002F246F" w:rsidRPr="00E02312" w:rsidRDefault="002F246F">
            <w:pPr>
              <w:rPr>
                <w:b/>
                <w:bCs/>
              </w:rPr>
            </w:pPr>
            <w:r w:rsidRPr="00E02312">
              <w:rPr>
                <w:b/>
                <w:bCs/>
              </w:rPr>
              <w:t>RPM</w:t>
            </w:r>
          </w:p>
        </w:tc>
      </w:tr>
      <w:tr w:rsidR="002F246F" w14:paraId="4EAB5056" w14:textId="77777777" w:rsidTr="054654CC">
        <w:tc>
          <w:tcPr>
            <w:tcW w:w="1230" w:type="dxa"/>
          </w:tcPr>
          <w:p w14:paraId="33BD6777" w14:textId="6503EAE6" w:rsidR="002F246F" w:rsidRDefault="002F246F">
            <w:r>
              <w:t>20</w:t>
            </w:r>
          </w:p>
        </w:tc>
        <w:tc>
          <w:tcPr>
            <w:tcW w:w="810" w:type="dxa"/>
          </w:tcPr>
          <w:p w14:paraId="04370AF0" w14:textId="25F155FB" w:rsidR="002F246F" w:rsidRDefault="00DE71E5">
            <w:r>
              <w:t>94.28</w:t>
            </w:r>
          </w:p>
        </w:tc>
      </w:tr>
      <w:tr w:rsidR="002F246F" w14:paraId="7D23E4DA" w14:textId="77777777" w:rsidTr="054654CC">
        <w:tc>
          <w:tcPr>
            <w:tcW w:w="1230" w:type="dxa"/>
          </w:tcPr>
          <w:p w14:paraId="1D35C118" w14:textId="4C88AB75" w:rsidR="002F246F" w:rsidRDefault="002F246F">
            <w:r>
              <w:t>15</w:t>
            </w:r>
          </w:p>
        </w:tc>
        <w:tc>
          <w:tcPr>
            <w:tcW w:w="810" w:type="dxa"/>
          </w:tcPr>
          <w:p w14:paraId="323D84FE" w14:textId="4272D2CE" w:rsidR="002F246F" w:rsidRDefault="00DE71E5">
            <w:r>
              <w:t>61.85</w:t>
            </w:r>
          </w:p>
        </w:tc>
      </w:tr>
      <w:tr w:rsidR="002F246F" w14:paraId="64226C6A" w14:textId="77777777" w:rsidTr="054654CC">
        <w:tc>
          <w:tcPr>
            <w:tcW w:w="1230" w:type="dxa"/>
          </w:tcPr>
          <w:p w14:paraId="650F8491" w14:textId="08F24D84" w:rsidR="002F246F" w:rsidRDefault="002F246F">
            <w:r>
              <w:t>10</w:t>
            </w:r>
          </w:p>
        </w:tc>
        <w:tc>
          <w:tcPr>
            <w:tcW w:w="810" w:type="dxa"/>
          </w:tcPr>
          <w:p w14:paraId="1F5D94CE" w14:textId="79CFC33C" w:rsidR="002F246F" w:rsidRDefault="00C6492A">
            <w:r>
              <w:t>32.56</w:t>
            </w:r>
          </w:p>
        </w:tc>
      </w:tr>
      <w:tr w:rsidR="002F246F" w14:paraId="4F27D6FA" w14:textId="77777777" w:rsidTr="054654CC">
        <w:tc>
          <w:tcPr>
            <w:tcW w:w="1230" w:type="dxa"/>
          </w:tcPr>
          <w:p w14:paraId="17A60696" w14:textId="5294818A" w:rsidR="002F246F" w:rsidRDefault="002F246F">
            <w:r>
              <w:t>5</w:t>
            </w:r>
          </w:p>
        </w:tc>
        <w:tc>
          <w:tcPr>
            <w:tcW w:w="810" w:type="dxa"/>
          </w:tcPr>
          <w:p w14:paraId="5757676E" w14:textId="47D10508" w:rsidR="002F246F" w:rsidRDefault="00C6492A">
            <w:r>
              <w:t>12.41</w:t>
            </w:r>
          </w:p>
        </w:tc>
      </w:tr>
      <w:tr w:rsidR="002F246F" w14:paraId="64F84377" w14:textId="77777777" w:rsidTr="054654CC">
        <w:tc>
          <w:tcPr>
            <w:tcW w:w="1230" w:type="dxa"/>
          </w:tcPr>
          <w:p w14:paraId="4DDE453B" w14:textId="23412205" w:rsidR="002F246F" w:rsidRDefault="002F246F">
            <w:r>
              <w:t>3</w:t>
            </w:r>
          </w:p>
        </w:tc>
        <w:tc>
          <w:tcPr>
            <w:tcW w:w="810" w:type="dxa"/>
          </w:tcPr>
          <w:p w14:paraId="6312D813" w14:textId="0F9F4F10" w:rsidR="002F246F" w:rsidRDefault="00E02312">
            <w:r>
              <w:t>7.24</w:t>
            </w:r>
          </w:p>
        </w:tc>
      </w:tr>
    </w:tbl>
    <w:p w14:paraId="54378DB3" w14:textId="7E8669E8" w:rsidR="720A173C" w:rsidRDefault="720A173C" w:rsidP="720A173C">
      <w:pPr>
        <w:spacing w:line="240" w:lineRule="auto"/>
      </w:pPr>
    </w:p>
    <w:p w14:paraId="6A6602E5" w14:textId="71455867" w:rsidR="42FEC494" w:rsidRDefault="42FEC494" w:rsidP="720A173C">
      <w:pPr>
        <w:spacing w:line="240" w:lineRule="auto"/>
        <w:rPr>
          <w:u w:val="single"/>
        </w:rPr>
      </w:pPr>
      <w:r w:rsidRPr="720A173C">
        <w:rPr>
          <w:u w:val="single"/>
        </w:rPr>
        <w:t>Spike-in with low concentration</w:t>
      </w:r>
      <w:r w:rsidR="0CD86AB5" w:rsidRPr="720A173C">
        <w:rPr>
          <w:u w:val="single"/>
        </w:rPr>
        <w:t>s</w:t>
      </w:r>
    </w:p>
    <w:p w14:paraId="28BDD4B2" w14:textId="1970B7E6" w:rsidR="720A173C" w:rsidRDefault="2B5CE1EE" w:rsidP="720A173C">
      <w:pPr>
        <w:spacing w:line="240" w:lineRule="auto"/>
      </w:pPr>
      <w:r>
        <w:t>Samples with RPM values lower than 100 have spike-in aliquots with low concentration added.</w:t>
      </w:r>
      <w:r w:rsidR="00134069">
        <w:t xml:space="preserve"> </w:t>
      </w:r>
      <w:r w:rsidR="0068350B">
        <w:t xml:space="preserve">According to </w:t>
      </w:r>
      <w:r w:rsidR="00C66F53">
        <w:t>T</w:t>
      </w:r>
      <w:r w:rsidR="00D630DE">
        <w:t xml:space="preserve">able 3, </w:t>
      </w:r>
      <w:r w:rsidR="00212F97">
        <w:t xml:space="preserve">the aliquots of </w:t>
      </w:r>
      <w:r w:rsidR="00D630DE">
        <w:t xml:space="preserve">ERCC-00023, ERCC-00077, ERCC-00054, and ERCC-00067 </w:t>
      </w:r>
      <w:r w:rsidR="00212F97">
        <w:t xml:space="preserve">may have low concentrations. </w:t>
      </w:r>
      <w:r w:rsidR="0BE9C510">
        <w:t>Only percentages greater than 50% are shown.</w:t>
      </w:r>
    </w:p>
    <w:p w14:paraId="15FA3D7A" w14:textId="528CFFB7" w:rsidR="00A73EDF" w:rsidRPr="00A46C23" w:rsidRDefault="00D53D0F" w:rsidP="720A173C">
      <w:pPr>
        <w:spacing w:line="240" w:lineRule="auto"/>
        <w:rPr>
          <w:b/>
          <w:bCs/>
        </w:rPr>
      </w:pPr>
      <w:r w:rsidRPr="00A46C23">
        <w:rPr>
          <w:b/>
          <w:bCs/>
        </w:rPr>
        <w:lastRenderedPageBreak/>
        <w:t>Table 3.</w:t>
      </w:r>
    </w:p>
    <w:tbl>
      <w:tblPr>
        <w:tblStyle w:val="TableGrid"/>
        <w:tblW w:w="6535" w:type="dxa"/>
        <w:tblLook w:val="04A0" w:firstRow="1" w:lastRow="0" w:firstColumn="1" w:lastColumn="0" w:noHBand="0" w:noVBand="1"/>
      </w:tblPr>
      <w:tblGrid>
        <w:gridCol w:w="1975"/>
        <w:gridCol w:w="1785"/>
        <w:gridCol w:w="1425"/>
        <w:gridCol w:w="1350"/>
      </w:tblGrid>
      <w:tr w:rsidR="00834664" w14:paraId="21F37D35" w14:textId="77777777" w:rsidTr="054654CC">
        <w:tc>
          <w:tcPr>
            <w:tcW w:w="1975" w:type="dxa"/>
          </w:tcPr>
          <w:p w14:paraId="0230F6A1" w14:textId="00EC981A" w:rsidR="00834664" w:rsidRPr="005157CA" w:rsidRDefault="00834664" w:rsidP="720A173C">
            <w:pPr>
              <w:rPr>
                <w:b/>
                <w:bCs/>
              </w:rPr>
            </w:pPr>
            <w:r w:rsidRPr="005157CA">
              <w:rPr>
                <w:b/>
                <w:bCs/>
              </w:rPr>
              <w:t>Assigned Spike-ins</w:t>
            </w:r>
          </w:p>
        </w:tc>
        <w:tc>
          <w:tcPr>
            <w:tcW w:w="1785" w:type="dxa"/>
          </w:tcPr>
          <w:p w14:paraId="2B722ED2" w14:textId="7BC4A6BA" w:rsidR="00834664" w:rsidRPr="005157CA" w:rsidRDefault="00834664" w:rsidP="720A173C">
            <w:pPr>
              <w:rPr>
                <w:b/>
                <w:bCs/>
              </w:rPr>
            </w:pPr>
            <w:r w:rsidRPr="005157CA">
              <w:rPr>
                <w:b/>
                <w:bCs/>
              </w:rPr>
              <w:t>Low RPM Count</w:t>
            </w:r>
          </w:p>
        </w:tc>
        <w:tc>
          <w:tcPr>
            <w:tcW w:w="1425" w:type="dxa"/>
          </w:tcPr>
          <w:p w14:paraId="567AE7D6" w14:textId="66DC9B81" w:rsidR="00834664" w:rsidRPr="005157CA" w:rsidRDefault="00834664" w:rsidP="720A173C">
            <w:pPr>
              <w:rPr>
                <w:b/>
                <w:bCs/>
              </w:rPr>
            </w:pPr>
            <w:r w:rsidRPr="005157CA">
              <w:rPr>
                <w:b/>
                <w:bCs/>
              </w:rPr>
              <w:t>Total Count</w:t>
            </w:r>
          </w:p>
        </w:tc>
        <w:tc>
          <w:tcPr>
            <w:tcW w:w="1350" w:type="dxa"/>
          </w:tcPr>
          <w:p w14:paraId="441CDA67" w14:textId="20124242" w:rsidR="00834664" w:rsidRPr="005157CA" w:rsidRDefault="00834664" w:rsidP="720A173C">
            <w:pPr>
              <w:rPr>
                <w:b/>
                <w:bCs/>
              </w:rPr>
            </w:pPr>
            <w:r w:rsidRPr="005157CA">
              <w:rPr>
                <w:b/>
                <w:bCs/>
              </w:rPr>
              <w:t>Percentage</w:t>
            </w:r>
          </w:p>
        </w:tc>
      </w:tr>
      <w:tr w:rsidR="00834664" w14:paraId="7D8854AC" w14:textId="77777777" w:rsidTr="054654CC">
        <w:tc>
          <w:tcPr>
            <w:tcW w:w="1975" w:type="dxa"/>
          </w:tcPr>
          <w:p w14:paraId="1517214A" w14:textId="37C60CF6" w:rsidR="00834664" w:rsidRDefault="00834664" w:rsidP="720A173C">
            <w:r>
              <w:t>ERCC-00023</w:t>
            </w:r>
          </w:p>
        </w:tc>
        <w:tc>
          <w:tcPr>
            <w:tcW w:w="1785" w:type="dxa"/>
          </w:tcPr>
          <w:p w14:paraId="3364CEDA" w14:textId="139B8809" w:rsidR="00834664" w:rsidRDefault="00D32A23" w:rsidP="720A173C">
            <w:r>
              <w:t>24</w:t>
            </w:r>
          </w:p>
        </w:tc>
        <w:tc>
          <w:tcPr>
            <w:tcW w:w="1425" w:type="dxa"/>
          </w:tcPr>
          <w:p w14:paraId="3D605929" w14:textId="39040D5B" w:rsidR="00834664" w:rsidRDefault="00D32A23" w:rsidP="720A173C">
            <w:r>
              <w:t>27</w:t>
            </w:r>
          </w:p>
        </w:tc>
        <w:tc>
          <w:tcPr>
            <w:tcW w:w="1350" w:type="dxa"/>
          </w:tcPr>
          <w:p w14:paraId="34495D2D" w14:textId="62F7133C" w:rsidR="00834664" w:rsidRDefault="00D32A23" w:rsidP="720A173C">
            <w:r>
              <w:t>88.89%</w:t>
            </w:r>
          </w:p>
        </w:tc>
      </w:tr>
      <w:tr w:rsidR="00834664" w14:paraId="317A4329" w14:textId="77777777" w:rsidTr="054654CC">
        <w:tc>
          <w:tcPr>
            <w:tcW w:w="1975" w:type="dxa"/>
          </w:tcPr>
          <w:p w14:paraId="722535B4" w14:textId="498EF529" w:rsidR="00834664" w:rsidRDefault="00834664" w:rsidP="720A173C">
            <w:r>
              <w:t>ERCC-00077</w:t>
            </w:r>
          </w:p>
        </w:tc>
        <w:tc>
          <w:tcPr>
            <w:tcW w:w="1785" w:type="dxa"/>
          </w:tcPr>
          <w:p w14:paraId="188A37E6" w14:textId="570BE994" w:rsidR="00834664" w:rsidRDefault="00D32A23" w:rsidP="720A173C">
            <w:r>
              <w:t>16</w:t>
            </w:r>
          </w:p>
        </w:tc>
        <w:tc>
          <w:tcPr>
            <w:tcW w:w="1425" w:type="dxa"/>
          </w:tcPr>
          <w:p w14:paraId="098F2FA0" w14:textId="26E169FB" w:rsidR="00834664" w:rsidRDefault="00D32A23" w:rsidP="720A173C">
            <w:r>
              <w:t>20</w:t>
            </w:r>
          </w:p>
        </w:tc>
        <w:tc>
          <w:tcPr>
            <w:tcW w:w="1350" w:type="dxa"/>
          </w:tcPr>
          <w:p w14:paraId="5522C206" w14:textId="6EBACF72" w:rsidR="00834664" w:rsidRDefault="005157CA" w:rsidP="720A173C">
            <w:r>
              <w:t>80.00%</w:t>
            </w:r>
          </w:p>
        </w:tc>
      </w:tr>
      <w:tr w:rsidR="00834664" w14:paraId="23413A4C" w14:textId="77777777" w:rsidTr="054654CC">
        <w:tc>
          <w:tcPr>
            <w:tcW w:w="1975" w:type="dxa"/>
          </w:tcPr>
          <w:p w14:paraId="3A6F53B6" w14:textId="75FED9BC" w:rsidR="00834664" w:rsidRDefault="00D32A23" w:rsidP="720A173C">
            <w:r>
              <w:t>ERCC-00054</w:t>
            </w:r>
          </w:p>
        </w:tc>
        <w:tc>
          <w:tcPr>
            <w:tcW w:w="1785" w:type="dxa"/>
          </w:tcPr>
          <w:p w14:paraId="5BEB4276" w14:textId="3D2F61AB" w:rsidR="00834664" w:rsidRDefault="00D32A23" w:rsidP="720A173C">
            <w:r>
              <w:t>18</w:t>
            </w:r>
          </w:p>
        </w:tc>
        <w:tc>
          <w:tcPr>
            <w:tcW w:w="1425" w:type="dxa"/>
          </w:tcPr>
          <w:p w14:paraId="6B617E6F" w14:textId="13E036CC" w:rsidR="00834664" w:rsidRDefault="00D32A23" w:rsidP="720A173C">
            <w:r>
              <w:t>23</w:t>
            </w:r>
          </w:p>
        </w:tc>
        <w:tc>
          <w:tcPr>
            <w:tcW w:w="1350" w:type="dxa"/>
          </w:tcPr>
          <w:p w14:paraId="163C52CD" w14:textId="5E6FEC3C" w:rsidR="00834664" w:rsidRDefault="005157CA" w:rsidP="720A173C">
            <w:r>
              <w:t>78.26%</w:t>
            </w:r>
          </w:p>
        </w:tc>
      </w:tr>
      <w:tr w:rsidR="00834664" w14:paraId="29AE838B" w14:textId="77777777" w:rsidTr="054654CC">
        <w:tc>
          <w:tcPr>
            <w:tcW w:w="1975" w:type="dxa"/>
          </w:tcPr>
          <w:p w14:paraId="18663573" w14:textId="404EE149" w:rsidR="00834664" w:rsidRDefault="00D32A23" w:rsidP="720A173C">
            <w:r>
              <w:t>ERCC-00067</w:t>
            </w:r>
          </w:p>
        </w:tc>
        <w:tc>
          <w:tcPr>
            <w:tcW w:w="1785" w:type="dxa"/>
          </w:tcPr>
          <w:p w14:paraId="241D4D54" w14:textId="55F2E148" w:rsidR="00834664" w:rsidRDefault="00D32A23" w:rsidP="720A173C">
            <w:r>
              <w:t>12</w:t>
            </w:r>
          </w:p>
        </w:tc>
        <w:tc>
          <w:tcPr>
            <w:tcW w:w="1425" w:type="dxa"/>
          </w:tcPr>
          <w:p w14:paraId="132C4D1C" w14:textId="1EE4F2A8" w:rsidR="00834664" w:rsidRDefault="00D32A23" w:rsidP="720A173C">
            <w:r>
              <w:t>24</w:t>
            </w:r>
          </w:p>
        </w:tc>
        <w:tc>
          <w:tcPr>
            <w:tcW w:w="1350" w:type="dxa"/>
          </w:tcPr>
          <w:p w14:paraId="2596EA7D" w14:textId="335E7FB2" w:rsidR="00834664" w:rsidRDefault="005157CA" w:rsidP="720A173C">
            <w:r>
              <w:t>50.00%</w:t>
            </w:r>
          </w:p>
        </w:tc>
      </w:tr>
    </w:tbl>
    <w:p w14:paraId="71F30799" w14:textId="77777777" w:rsidR="00A46C23" w:rsidRDefault="00A46C23" w:rsidP="720A173C">
      <w:pPr>
        <w:spacing w:line="240" w:lineRule="auto"/>
        <w:rPr>
          <w:b/>
          <w:bCs/>
        </w:rPr>
      </w:pPr>
    </w:p>
    <w:p w14:paraId="718F8C56" w14:textId="7246B2FE" w:rsidR="42FEC494" w:rsidRDefault="42FEC494" w:rsidP="720A173C">
      <w:pPr>
        <w:spacing w:line="240" w:lineRule="auto"/>
        <w:rPr>
          <w:u w:val="single"/>
        </w:rPr>
      </w:pPr>
      <w:r w:rsidRPr="720A173C">
        <w:rPr>
          <w:u w:val="single"/>
        </w:rPr>
        <w:t xml:space="preserve">Ratio </w:t>
      </w:r>
      <w:r w:rsidR="2E960A58" w:rsidRPr="720A173C">
        <w:rPr>
          <w:u w:val="single"/>
        </w:rPr>
        <w:t>c</w:t>
      </w:r>
      <w:r w:rsidRPr="720A173C">
        <w:rPr>
          <w:u w:val="single"/>
        </w:rPr>
        <w:t>utoff</w:t>
      </w:r>
    </w:p>
    <w:p w14:paraId="7D367198" w14:textId="1D028BC4" w:rsidR="00A27B60" w:rsidRDefault="003E67F8" w:rsidP="1A8843ED">
      <w:pPr>
        <w:spacing w:line="240" w:lineRule="auto"/>
      </w:pPr>
      <w:r>
        <w:t xml:space="preserve">Only samples with two or more spike-ins detected are analyzed. </w:t>
      </w:r>
      <w:r w:rsidR="00F2430E">
        <w:t xml:space="preserve">As shown in Figure 3 and Table </w:t>
      </w:r>
      <w:r w:rsidR="5A03D38C">
        <w:t>4</w:t>
      </w:r>
      <w:r w:rsidR="00F2430E">
        <w:t>, most of the samples (</w:t>
      </w:r>
      <w:r w:rsidR="000607B2">
        <w:t>83.</w:t>
      </w:r>
      <w:r w:rsidR="00446A54">
        <w:t>55</w:t>
      </w:r>
      <w:r w:rsidR="00F2430E">
        <w:t xml:space="preserve">%) have </w:t>
      </w:r>
      <w:r w:rsidR="00A24089">
        <w:t>SHR</w:t>
      </w:r>
      <w:r w:rsidR="00F2430E">
        <w:t xml:space="preserve"> values within the </w:t>
      </w:r>
      <w:r w:rsidR="00A24089">
        <w:t>0 – 0.1</w:t>
      </w:r>
      <w:r w:rsidR="00F2430E">
        <w:t xml:space="preserve"> range</w:t>
      </w:r>
      <w:r w:rsidR="00A96EEA">
        <w:t xml:space="preserve">, while the rest </w:t>
      </w:r>
      <w:r w:rsidR="00BE7577">
        <w:t xml:space="preserve">(16.45%) </w:t>
      </w:r>
      <w:r w:rsidR="00A96EEA">
        <w:t>lie within the 0.1 – 1 range</w:t>
      </w:r>
      <w:r w:rsidR="00F2430E">
        <w:t xml:space="preserve">. </w:t>
      </w:r>
      <w:r w:rsidR="00A80625">
        <w:t xml:space="preserve">According to Table </w:t>
      </w:r>
      <w:r w:rsidR="058FDA91">
        <w:t>5</w:t>
      </w:r>
      <w:r w:rsidR="00A80625">
        <w:t xml:space="preserve">, </w:t>
      </w:r>
      <w:r w:rsidR="00B162A7">
        <w:t>the 85th and 90th percentile</w:t>
      </w:r>
      <w:r w:rsidR="0219FF0E">
        <w:t>s,</w:t>
      </w:r>
      <w:r w:rsidR="00B162A7">
        <w:t xml:space="preserve"> correspond</w:t>
      </w:r>
      <w:r w:rsidR="46A14881">
        <w:t>ing</w:t>
      </w:r>
      <w:r w:rsidR="00B162A7">
        <w:t xml:space="preserve"> to a 0.1</w:t>
      </w:r>
      <w:r w:rsidR="44643FC1">
        <w:t>6</w:t>
      </w:r>
      <w:r w:rsidR="00B162A7">
        <w:t xml:space="preserve"> and 0.43 SHR value</w:t>
      </w:r>
      <w:r w:rsidR="328AB90B">
        <w:t xml:space="preserve"> </w:t>
      </w:r>
      <w:r w:rsidR="00B162A7">
        <w:t>respectively</w:t>
      </w:r>
      <w:r w:rsidR="38395D61">
        <w:t>, seem most appropriate</w:t>
      </w:r>
      <w:r w:rsidR="00B162A7">
        <w:t xml:space="preserve">. Thus, </w:t>
      </w:r>
      <w:r w:rsidR="00A80625">
        <w:t>the SHR cutoff should be within the 0.1</w:t>
      </w:r>
      <w:r w:rsidR="175FBAEE">
        <w:t>6</w:t>
      </w:r>
      <w:r w:rsidR="00A80625">
        <w:t xml:space="preserve"> – 0.43</w:t>
      </w:r>
      <w:r w:rsidR="00B162A7">
        <w:t xml:space="preserve"> range.</w:t>
      </w:r>
      <w:r w:rsidR="00F2430E">
        <w:t xml:space="preserve"> </w:t>
      </w:r>
    </w:p>
    <w:p w14:paraId="2287EB59" w14:textId="77777777" w:rsidR="00BE7577" w:rsidRDefault="00BE7577" w:rsidP="1A8843ED">
      <w:pPr>
        <w:spacing w:line="240" w:lineRule="auto"/>
        <w:rPr>
          <w:b/>
          <w:bCs/>
        </w:rPr>
        <w:sectPr w:rsidR="00BE7577" w:rsidSect="006A1E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FF6489" w14:textId="5F0FD39F" w:rsidR="00005B56" w:rsidRPr="00A24089" w:rsidRDefault="00005B56" w:rsidP="1A8843ED">
      <w:pPr>
        <w:spacing w:line="240" w:lineRule="auto"/>
        <w:rPr>
          <w:b/>
          <w:bCs/>
        </w:rPr>
      </w:pPr>
      <w:r w:rsidRPr="00A24089">
        <w:rPr>
          <w:b/>
          <w:bCs/>
        </w:rPr>
        <w:t>Figure 3.</w:t>
      </w:r>
    </w:p>
    <w:p w14:paraId="3BFBFA5C" w14:textId="60207397" w:rsidR="1A8843ED" w:rsidRDefault="00005B56" w:rsidP="1A8843ED">
      <w:pPr>
        <w:spacing w:line="240" w:lineRule="auto"/>
      </w:pPr>
      <w:r>
        <w:rPr>
          <w:noProof/>
        </w:rPr>
        <w:drawing>
          <wp:inline distT="0" distB="0" distL="0" distR="0" wp14:anchorId="0A486B19" wp14:editId="53BBC448">
            <wp:extent cx="2888536" cy="1837266"/>
            <wp:effectExtent l="0" t="0" r="0" b="4445"/>
            <wp:docPr id="367480439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80439" name="Picture 1" descr="A graph with numbers and lin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058" cy="185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67D5" w14:textId="5BD580F0" w:rsidR="004411D9" w:rsidRPr="00A24089" w:rsidRDefault="00005B56" w:rsidP="1A8843ED">
      <w:pPr>
        <w:spacing w:line="240" w:lineRule="auto"/>
        <w:rPr>
          <w:b/>
          <w:bCs/>
        </w:rPr>
      </w:pPr>
      <w:r w:rsidRPr="054654CC">
        <w:rPr>
          <w:b/>
          <w:bCs/>
        </w:rPr>
        <w:t xml:space="preserve">Table </w:t>
      </w:r>
      <w:r w:rsidR="0B9FD85D" w:rsidRPr="054654CC">
        <w:rPr>
          <w:b/>
          <w:bCs/>
        </w:rPr>
        <w:t>4</w:t>
      </w:r>
      <w:r w:rsidRPr="054654CC">
        <w:rPr>
          <w:b/>
          <w:bCs/>
        </w:rPr>
        <w:t>.</w:t>
      </w:r>
    </w:p>
    <w:tbl>
      <w:tblPr>
        <w:tblStyle w:val="TableGrid"/>
        <w:tblW w:w="3810" w:type="dxa"/>
        <w:tblLook w:val="04A0" w:firstRow="1" w:lastRow="0" w:firstColumn="1" w:lastColumn="0" w:noHBand="0" w:noVBand="1"/>
      </w:tblPr>
      <w:tblGrid>
        <w:gridCol w:w="1485"/>
        <w:gridCol w:w="930"/>
        <w:gridCol w:w="1395"/>
      </w:tblGrid>
      <w:tr w:rsidR="007A472C" w14:paraId="37A937CA" w14:textId="77777777" w:rsidTr="04E04FB5">
        <w:trPr>
          <w:trHeight w:val="300"/>
        </w:trPr>
        <w:tc>
          <w:tcPr>
            <w:tcW w:w="1485" w:type="dxa"/>
          </w:tcPr>
          <w:p w14:paraId="107EC3E0" w14:textId="1C760D17" w:rsidR="007A472C" w:rsidRPr="00A27B60" w:rsidRDefault="000607B2" w:rsidP="1A8843E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SHR </w:t>
            </w:r>
            <w:r w:rsidR="007A472C" w:rsidRPr="00A27B60">
              <w:rPr>
                <w:b/>
                <w:bCs/>
              </w:rPr>
              <w:t>Range</w:t>
            </w:r>
          </w:p>
        </w:tc>
        <w:tc>
          <w:tcPr>
            <w:tcW w:w="930" w:type="dxa"/>
          </w:tcPr>
          <w:p w14:paraId="6A2D1F72" w14:textId="45988BA3" w:rsidR="007A472C" w:rsidRPr="00A27B60" w:rsidRDefault="007A472C" w:rsidP="1A8843ED">
            <w:pPr>
              <w:rPr>
                <w:b/>
                <w:bCs/>
              </w:rPr>
            </w:pPr>
            <w:r w:rsidRPr="00A27B60">
              <w:rPr>
                <w:b/>
                <w:bCs/>
              </w:rPr>
              <w:t>Count</w:t>
            </w:r>
          </w:p>
        </w:tc>
        <w:tc>
          <w:tcPr>
            <w:tcW w:w="1395" w:type="dxa"/>
          </w:tcPr>
          <w:p w14:paraId="601C45A8" w14:textId="2036AD5C" w:rsidR="007A472C" w:rsidRPr="00A27B60" w:rsidRDefault="007A472C" w:rsidP="1A8843ED">
            <w:pPr>
              <w:rPr>
                <w:b/>
                <w:bCs/>
              </w:rPr>
            </w:pPr>
            <w:r w:rsidRPr="00A27B60">
              <w:rPr>
                <w:b/>
                <w:bCs/>
              </w:rPr>
              <w:t>Percentage</w:t>
            </w:r>
          </w:p>
        </w:tc>
      </w:tr>
      <w:tr w:rsidR="007A472C" w14:paraId="7504C7D1" w14:textId="77777777" w:rsidTr="04E04FB5">
        <w:tc>
          <w:tcPr>
            <w:tcW w:w="1485" w:type="dxa"/>
          </w:tcPr>
          <w:p w14:paraId="71CE2097" w14:textId="153FE081" w:rsidR="007A472C" w:rsidRDefault="007A472C" w:rsidP="1A8843ED">
            <w:r>
              <w:t>0 - 0.1</w:t>
            </w:r>
          </w:p>
        </w:tc>
        <w:tc>
          <w:tcPr>
            <w:tcW w:w="930" w:type="dxa"/>
          </w:tcPr>
          <w:p w14:paraId="0BC52364" w14:textId="637361F1" w:rsidR="007A472C" w:rsidRDefault="00A27B60" w:rsidP="1A8843ED">
            <w:r>
              <w:t>711</w:t>
            </w:r>
          </w:p>
        </w:tc>
        <w:tc>
          <w:tcPr>
            <w:tcW w:w="1395" w:type="dxa"/>
          </w:tcPr>
          <w:p w14:paraId="24EB6169" w14:textId="2EB8BB86" w:rsidR="007A472C" w:rsidRDefault="00A27B60" w:rsidP="1A8843ED">
            <w:r>
              <w:t>83.55%</w:t>
            </w:r>
          </w:p>
        </w:tc>
      </w:tr>
      <w:tr w:rsidR="007A472C" w14:paraId="2A510258" w14:textId="77777777" w:rsidTr="04E04FB5">
        <w:tc>
          <w:tcPr>
            <w:tcW w:w="1485" w:type="dxa"/>
          </w:tcPr>
          <w:p w14:paraId="5372927D" w14:textId="5971E939" w:rsidR="007A472C" w:rsidRDefault="00A27B60" w:rsidP="1A8843ED">
            <w:r>
              <w:t xml:space="preserve">≥ 0.1 </w:t>
            </w:r>
          </w:p>
        </w:tc>
        <w:tc>
          <w:tcPr>
            <w:tcW w:w="930" w:type="dxa"/>
          </w:tcPr>
          <w:p w14:paraId="6D6A9F19" w14:textId="1FF57D7C" w:rsidR="007A472C" w:rsidRDefault="00A27B60" w:rsidP="1A8843ED">
            <w:r>
              <w:t>140</w:t>
            </w:r>
          </w:p>
        </w:tc>
        <w:tc>
          <w:tcPr>
            <w:tcW w:w="1395" w:type="dxa"/>
          </w:tcPr>
          <w:p w14:paraId="2E666C2F" w14:textId="09C58A53" w:rsidR="007A472C" w:rsidRDefault="00A27B60" w:rsidP="1A8843ED">
            <w:r>
              <w:t>16.45%</w:t>
            </w:r>
          </w:p>
        </w:tc>
      </w:tr>
    </w:tbl>
    <w:p w14:paraId="535C8175" w14:textId="77777777" w:rsidR="00BE7577" w:rsidRDefault="00BE7577" w:rsidP="1A8843ED">
      <w:pPr>
        <w:spacing w:line="240" w:lineRule="auto"/>
        <w:sectPr w:rsidR="00BE7577" w:rsidSect="006A1E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120D5BC" w14:textId="42527CF4" w:rsidR="00005B56" w:rsidRPr="00BE7577" w:rsidRDefault="00005B56" w:rsidP="1A8843ED">
      <w:pPr>
        <w:spacing w:line="240" w:lineRule="auto"/>
        <w:rPr>
          <w:b/>
          <w:bCs/>
        </w:rPr>
      </w:pPr>
      <w:r w:rsidRPr="054654CC">
        <w:rPr>
          <w:b/>
          <w:bCs/>
        </w:rPr>
        <w:t xml:space="preserve">Table </w:t>
      </w:r>
      <w:r w:rsidR="47D874A4" w:rsidRPr="054654CC">
        <w:rPr>
          <w:b/>
          <w:bCs/>
        </w:rPr>
        <w:t>5</w:t>
      </w:r>
      <w:r w:rsidRPr="054654CC">
        <w:rPr>
          <w:b/>
          <w:bCs/>
        </w:rPr>
        <w:t>.</w:t>
      </w:r>
    </w:p>
    <w:tbl>
      <w:tblPr>
        <w:tblStyle w:val="TableGrid"/>
        <w:tblW w:w="2100" w:type="dxa"/>
        <w:tblLook w:val="04A0" w:firstRow="1" w:lastRow="0" w:firstColumn="1" w:lastColumn="0" w:noHBand="0" w:noVBand="1"/>
      </w:tblPr>
      <w:tblGrid>
        <w:gridCol w:w="1290"/>
        <w:gridCol w:w="810"/>
      </w:tblGrid>
      <w:tr w:rsidR="00A27B60" w14:paraId="08CEF3D6" w14:textId="77777777" w:rsidTr="054654CC">
        <w:tc>
          <w:tcPr>
            <w:tcW w:w="1290" w:type="dxa"/>
          </w:tcPr>
          <w:p w14:paraId="26DF3AFA" w14:textId="77777777" w:rsidR="00A27B60" w:rsidRPr="00E02312" w:rsidRDefault="00A27B60" w:rsidP="00BA09FB">
            <w:pPr>
              <w:rPr>
                <w:b/>
                <w:bCs/>
              </w:rPr>
            </w:pPr>
            <w:r w:rsidRPr="00E02312">
              <w:rPr>
                <w:b/>
                <w:bCs/>
              </w:rPr>
              <w:t>Percentile</w:t>
            </w:r>
          </w:p>
        </w:tc>
        <w:tc>
          <w:tcPr>
            <w:tcW w:w="810" w:type="dxa"/>
          </w:tcPr>
          <w:p w14:paraId="5CE64416" w14:textId="0C90D315" w:rsidR="00A27B60" w:rsidRPr="00E02312" w:rsidRDefault="00F2430E" w:rsidP="00BA09FB">
            <w:pPr>
              <w:rPr>
                <w:b/>
                <w:bCs/>
              </w:rPr>
            </w:pPr>
            <w:r>
              <w:rPr>
                <w:b/>
                <w:bCs/>
              </w:rPr>
              <w:t>SHR</w:t>
            </w:r>
          </w:p>
        </w:tc>
      </w:tr>
      <w:tr w:rsidR="00A27B60" w14:paraId="1B659B1F" w14:textId="77777777" w:rsidTr="054654CC">
        <w:tc>
          <w:tcPr>
            <w:tcW w:w="1290" w:type="dxa"/>
          </w:tcPr>
          <w:p w14:paraId="066D052E" w14:textId="6EF27B23" w:rsidR="00A27B60" w:rsidRDefault="00A27B60" w:rsidP="00BA09FB">
            <w:r>
              <w:t>80</w:t>
            </w:r>
          </w:p>
        </w:tc>
        <w:tc>
          <w:tcPr>
            <w:tcW w:w="810" w:type="dxa"/>
          </w:tcPr>
          <w:p w14:paraId="1F6C5E2D" w14:textId="61D7EC4E" w:rsidR="00A27B60" w:rsidRDefault="596DCF06" w:rsidP="00BA09FB">
            <w:r>
              <w:t>0.0</w:t>
            </w:r>
            <w:r w:rsidR="3115E2C7">
              <w:t>5</w:t>
            </w:r>
          </w:p>
        </w:tc>
      </w:tr>
      <w:tr w:rsidR="00A27B60" w14:paraId="55CCD3A4" w14:textId="77777777" w:rsidTr="054654CC">
        <w:tc>
          <w:tcPr>
            <w:tcW w:w="1290" w:type="dxa"/>
          </w:tcPr>
          <w:p w14:paraId="23FCC5A3" w14:textId="1D4DF0E6" w:rsidR="00A27B60" w:rsidRDefault="00A27B60" w:rsidP="00BA09FB">
            <w:r>
              <w:t>85</w:t>
            </w:r>
          </w:p>
        </w:tc>
        <w:tc>
          <w:tcPr>
            <w:tcW w:w="810" w:type="dxa"/>
          </w:tcPr>
          <w:p w14:paraId="3336BBBB" w14:textId="691FBE40" w:rsidR="00A27B60" w:rsidRDefault="596DCF06" w:rsidP="00BA09FB">
            <w:r>
              <w:t>0.1</w:t>
            </w:r>
            <w:r w:rsidR="4ED564B4">
              <w:t>6</w:t>
            </w:r>
          </w:p>
        </w:tc>
      </w:tr>
      <w:tr w:rsidR="00A27B60" w14:paraId="104A52A6" w14:textId="77777777" w:rsidTr="054654CC">
        <w:tc>
          <w:tcPr>
            <w:tcW w:w="1290" w:type="dxa"/>
          </w:tcPr>
          <w:p w14:paraId="2DE02B32" w14:textId="1BCE0739" w:rsidR="00A27B60" w:rsidRDefault="00A27B60" w:rsidP="00BA09FB">
            <w:r>
              <w:t>90</w:t>
            </w:r>
          </w:p>
        </w:tc>
        <w:tc>
          <w:tcPr>
            <w:tcW w:w="810" w:type="dxa"/>
          </w:tcPr>
          <w:p w14:paraId="0BE5F73B" w14:textId="461A4C5C" w:rsidR="00A27B60" w:rsidRDefault="596DCF06" w:rsidP="00BA09FB">
            <w:r>
              <w:t>0.43</w:t>
            </w:r>
          </w:p>
        </w:tc>
      </w:tr>
      <w:tr w:rsidR="00A27B60" w14:paraId="69F6E39E" w14:textId="77777777" w:rsidTr="054654CC">
        <w:tc>
          <w:tcPr>
            <w:tcW w:w="1290" w:type="dxa"/>
          </w:tcPr>
          <w:p w14:paraId="0E517756" w14:textId="500E67CB" w:rsidR="00A27B60" w:rsidRDefault="00A27B60" w:rsidP="00BA09FB">
            <w:r>
              <w:t>95</w:t>
            </w:r>
          </w:p>
        </w:tc>
        <w:tc>
          <w:tcPr>
            <w:tcW w:w="810" w:type="dxa"/>
          </w:tcPr>
          <w:p w14:paraId="665BC73A" w14:textId="310FF132" w:rsidR="00A27B60" w:rsidRDefault="596DCF06" w:rsidP="00BA09FB">
            <w:r>
              <w:t>0.63</w:t>
            </w:r>
          </w:p>
        </w:tc>
      </w:tr>
      <w:tr w:rsidR="00A27B60" w14:paraId="55B5C642" w14:textId="77777777" w:rsidTr="054654CC">
        <w:tc>
          <w:tcPr>
            <w:tcW w:w="1290" w:type="dxa"/>
          </w:tcPr>
          <w:p w14:paraId="3F8725A6" w14:textId="219ACDB0" w:rsidR="00A27B60" w:rsidRDefault="00A27B60" w:rsidP="00BA09FB">
            <w:r>
              <w:t>97</w:t>
            </w:r>
          </w:p>
        </w:tc>
        <w:tc>
          <w:tcPr>
            <w:tcW w:w="810" w:type="dxa"/>
          </w:tcPr>
          <w:p w14:paraId="3EBC37CF" w14:textId="1B1CA175" w:rsidR="00A27B60" w:rsidRDefault="596DCF06" w:rsidP="00BA09FB">
            <w:r>
              <w:t>0.84</w:t>
            </w:r>
          </w:p>
        </w:tc>
      </w:tr>
    </w:tbl>
    <w:p w14:paraId="52E59B8E" w14:textId="77777777" w:rsidR="00A27B60" w:rsidRDefault="00A27B60" w:rsidP="1A8843ED">
      <w:pPr>
        <w:spacing w:line="240" w:lineRule="auto"/>
      </w:pPr>
    </w:p>
    <w:p w14:paraId="3FB10F07" w14:textId="03026261" w:rsidR="43C71288" w:rsidRDefault="43C71288" w:rsidP="720A173C">
      <w:pPr>
        <w:spacing w:line="240" w:lineRule="auto"/>
        <w:rPr>
          <w:u w:val="single"/>
        </w:rPr>
      </w:pPr>
      <w:r w:rsidRPr="720A173C">
        <w:rPr>
          <w:u w:val="single"/>
        </w:rPr>
        <w:t>Spike-in with possible contamination</w:t>
      </w:r>
    </w:p>
    <w:p w14:paraId="1763A830" w14:textId="4FA1AF5A" w:rsidR="002F5B42" w:rsidRPr="002F5B42" w:rsidRDefault="6F6A6E03" w:rsidP="054654CC">
      <w:pPr>
        <w:spacing w:line="240" w:lineRule="auto"/>
      </w:pPr>
      <w:r>
        <w:t xml:space="preserve">Samples with SHR values greater than 0.43 are further analyzed. </w:t>
      </w:r>
      <w:r w:rsidR="002F5B42">
        <w:t xml:space="preserve">According to </w:t>
      </w:r>
      <w:r w:rsidR="00C66F53">
        <w:t>T</w:t>
      </w:r>
      <w:r w:rsidR="002F5B42">
        <w:t xml:space="preserve">able </w:t>
      </w:r>
      <w:r w:rsidR="05608820">
        <w:t>6</w:t>
      </w:r>
      <w:r w:rsidR="002F5B42">
        <w:t xml:space="preserve">, the </w:t>
      </w:r>
      <w:r w:rsidR="00981A95">
        <w:t xml:space="preserve">batches sequenced on December 1, 2022, February 13, 2023, February 2, 2023, and December 8, </w:t>
      </w:r>
      <w:r w:rsidR="00C25A7A">
        <w:t>2022,</w:t>
      </w:r>
      <w:r w:rsidR="00981A95">
        <w:t xml:space="preserve"> might have </w:t>
      </w:r>
      <w:r w:rsidR="00C25A7A">
        <w:t xml:space="preserve">been </w:t>
      </w:r>
      <w:r w:rsidR="00304566">
        <w:t>contaminat</w:t>
      </w:r>
      <w:r w:rsidR="00C25A7A">
        <w:t>ed</w:t>
      </w:r>
      <w:r w:rsidR="00304566">
        <w:t xml:space="preserve"> while preparing </w:t>
      </w:r>
      <w:r w:rsidR="000F7264">
        <w:t>the library</w:t>
      </w:r>
      <w:r w:rsidR="002F5B42">
        <w:t>.</w:t>
      </w:r>
      <w:r w:rsidR="41EEE004">
        <w:t xml:space="preserve"> Only percentages greater than 50% are shown.</w:t>
      </w:r>
    </w:p>
    <w:p w14:paraId="6537EC63" w14:textId="6A79E41F" w:rsidR="002F5B42" w:rsidRPr="00A46C23" w:rsidRDefault="002F5B42" w:rsidP="002F5B42">
      <w:pPr>
        <w:spacing w:line="240" w:lineRule="auto"/>
        <w:rPr>
          <w:b/>
          <w:bCs/>
        </w:rPr>
      </w:pPr>
      <w:r w:rsidRPr="054654CC">
        <w:rPr>
          <w:b/>
          <w:bCs/>
        </w:rPr>
        <w:t xml:space="preserve">Table </w:t>
      </w:r>
      <w:r w:rsidR="146A2E9C" w:rsidRPr="054654CC">
        <w:rPr>
          <w:b/>
          <w:bCs/>
        </w:rPr>
        <w:t>6</w:t>
      </w:r>
      <w:r w:rsidRPr="054654CC">
        <w:rPr>
          <w:b/>
          <w:bCs/>
        </w:rPr>
        <w:t>.</w:t>
      </w:r>
    </w:p>
    <w:tbl>
      <w:tblPr>
        <w:tblStyle w:val="TableGrid"/>
        <w:tblW w:w="6450" w:type="dxa"/>
        <w:tblLook w:val="04A0" w:firstRow="1" w:lastRow="0" w:firstColumn="1" w:lastColumn="0" w:noHBand="0" w:noVBand="1"/>
      </w:tblPr>
      <w:tblGrid>
        <w:gridCol w:w="1800"/>
        <w:gridCol w:w="1080"/>
        <w:gridCol w:w="870"/>
        <w:gridCol w:w="1395"/>
        <w:gridCol w:w="1305"/>
      </w:tblGrid>
      <w:tr w:rsidR="002F5B42" w14:paraId="2EC80A04" w14:textId="77777777" w:rsidTr="054654CC">
        <w:tc>
          <w:tcPr>
            <w:tcW w:w="1800" w:type="dxa"/>
          </w:tcPr>
          <w:p w14:paraId="2D747F96" w14:textId="77777777" w:rsidR="002F5B42" w:rsidRPr="005157CA" w:rsidRDefault="002F5B42" w:rsidP="00BA09FB">
            <w:pPr>
              <w:rPr>
                <w:b/>
                <w:bCs/>
              </w:rPr>
            </w:pPr>
            <w:r>
              <w:rPr>
                <w:b/>
                <w:bCs/>
              </w:rPr>
              <w:t>Sequenced Date</w:t>
            </w:r>
          </w:p>
        </w:tc>
        <w:tc>
          <w:tcPr>
            <w:tcW w:w="1080" w:type="dxa"/>
          </w:tcPr>
          <w:p w14:paraId="694F6D5D" w14:textId="77777777" w:rsidR="002F5B42" w:rsidRPr="005157CA" w:rsidRDefault="002F5B42" w:rsidP="00BA09FB">
            <w:pPr>
              <w:rPr>
                <w:b/>
                <w:bCs/>
              </w:rPr>
            </w:pPr>
            <w:r>
              <w:rPr>
                <w:b/>
                <w:bCs/>
              </w:rPr>
              <w:t>Virus</w:t>
            </w:r>
          </w:p>
        </w:tc>
        <w:tc>
          <w:tcPr>
            <w:tcW w:w="870" w:type="dxa"/>
          </w:tcPr>
          <w:p w14:paraId="27237AC1" w14:textId="77777777" w:rsidR="002F5B42" w:rsidRPr="005157CA" w:rsidRDefault="002F5B42" w:rsidP="00BA09FB">
            <w:pPr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  <w:tc>
          <w:tcPr>
            <w:tcW w:w="1395" w:type="dxa"/>
          </w:tcPr>
          <w:p w14:paraId="1728FC28" w14:textId="77777777" w:rsidR="002F5B42" w:rsidRPr="005157CA" w:rsidRDefault="002F5B42" w:rsidP="00BA09FB">
            <w:pPr>
              <w:rPr>
                <w:b/>
                <w:bCs/>
              </w:rPr>
            </w:pPr>
            <w:r w:rsidRPr="005157CA">
              <w:rPr>
                <w:b/>
                <w:bCs/>
              </w:rPr>
              <w:t>Total Count</w:t>
            </w:r>
          </w:p>
        </w:tc>
        <w:tc>
          <w:tcPr>
            <w:tcW w:w="1305" w:type="dxa"/>
          </w:tcPr>
          <w:p w14:paraId="1A5E4D4C" w14:textId="77777777" w:rsidR="002F5B42" w:rsidRPr="005157CA" w:rsidRDefault="002F5B42" w:rsidP="00BA09FB">
            <w:pPr>
              <w:rPr>
                <w:b/>
                <w:bCs/>
              </w:rPr>
            </w:pPr>
            <w:r w:rsidRPr="005157CA">
              <w:rPr>
                <w:b/>
                <w:bCs/>
              </w:rPr>
              <w:t>Percentage</w:t>
            </w:r>
          </w:p>
        </w:tc>
      </w:tr>
      <w:tr w:rsidR="002F5B42" w14:paraId="3C4BADE2" w14:textId="77777777" w:rsidTr="054654CC">
        <w:tc>
          <w:tcPr>
            <w:tcW w:w="1800" w:type="dxa"/>
          </w:tcPr>
          <w:p w14:paraId="4B351824" w14:textId="287578D0" w:rsidR="002F5B42" w:rsidRDefault="002F5B42" w:rsidP="00BA09FB">
            <w:r>
              <w:t>2022-</w:t>
            </w:r>
            <w:r w:rsidR="0004183E">
              <w:t>12</w:t>
            </w:r>
            <w:r>
              <w:t>-</w:t>
            </w:r>
            <w:r w:rsidR="0004183E">
              <w:t>01</w:t>
            </w:r>
          </w:p>
        </w:tc>
        <w:tc>
          <w:tcPr>
            <w:tcW w:w="1080" w:type="dxa"/>
          </w:tcPr>
          <w:p w14:paraId="4EEBEB01" w14:textId="78589151" w:rsidR="002F5B42" w:rsidRDefault="0004183E" w:rsidP="00BA09FB">
            <w:r>
              <w:t>Dengue</w:t>
            </w:r>
          </w:p>
        </w:tc>
        <w:tc>
          <w:tcPr>
            <w:tcW w:w="870" w:type="dxa"/>
          </w:tcPr>
          <w:p w14:paraId="4BA35B9B" w14:textId="47F0AAF7" w:rsidR="002F5B42" w:rsidRDefault="002F5B42" w:rsidP="00BA09FB">
            <w:r>
              <w:t>1</w:t>
            </w:r>
            <w:r w:rsidR="0004183E">
              <w:t>5</w:t>
            </w:r>
          </w:p>
        </w:tc>
        <w:tc>
          <w:tcPr>
            <w:tcW w:w="1395" w:type="dxa"/>
          </w:tcPr>
          <w:p w14:paraId="54FE25C5" w14:textId="77777777" w:rsidR="002F5B42" w:rsidRDefault="002F5B42" w:rsidP="00BA09FB">
            <w:r>
              <w:t>18</w:t>
            </w:r>
          </w:p>
        </w:tc>
        <w:tc>
          <w:tcPr>
            <w:tcW w:w="1305" w:type="dxa"/>
          </w:tcPr>
          <w:p w14:paraId="34FBD5F3" w14:textId="61BF79C0" w:rsidR="002F5B42" w:rsidRDefault="0004183E" w:rsidP="00BA09FB">
            <w:r>
              <w:t>83.33%</w:t>
            </w:r>
          </w:p>
        </w:tc>
      </w:tr>
      <w:tr w:rsidR="002F5B42" w14:paraId="50C4C502" w14:textId="77777777" w:rsidTr="054654CC">
        <w:tc>
          <w:tcPr>
            <w:tcW w:w="1800" w:type="dxa"/>
          </w:tcPr>
          <w:p w14:paraId="76705A3E" w14:textId="4CD6CF54" w:rsidR="002F5B42" w:rsidRDefault="0004183E" w:rsidP="00BA09FB">
            <w:r w:rsidRPr="0004183E">
              <w:t>2023-02-13</w:t>
            </w:r>
          </w:p>
        </w:tc>
        <w:tc>
          <w:tcPr>
            <w:tcW w:w="1080" w:type="dxa"/>
          </w:tcPr>
          <w:p w14:paraId="4F4302DF" w14:textId="5FF3759B" w:rsidR="002F5B42" w:rsidRDefault="0004183E" w:rsidP="00BA09FB">
            <w:r>
              <w:t>Dengue</w:t>
            </w:r>
          </w:p>
        </w:tc>
        <w:tc>
          <w:tcPr>
            <w:tcW w:w="870" w:type="dxa"/>
          </w:tcPr>
          <w:p w14:paraId="58D1F2B6" w14:textId="6040CFD5" w:rsidR="002F5B42" w:rsidRDefault="0004183E" w:rsidP="00BA09FB">
            <w:r>
              <w:t>12</w:t>
            </w:r>
          </w:p>
        </w:tc>
        <w:tc>
          <w:tcPr>
            <w:tcW w:w="1395" w:type="dxa"/>
          </w:tcPr>
          <w:p w14:paraId="095917D2" w14:textId="0040207F" w:rsidR="002F5B42" w:rsidRDefault="0004183E" w:rsidP="00BA09FB">
            <w:r>
              <w:t>15</w:t>
            </w:r>
          </w:p>
        </w:tc>
        <w:tc>
          <w:tcPr>
            <w:tcW w:w="1305" w:type="dxa"/>
          </w:tcPr>
          <w:p w14:paraId="39F395C0" w14:textId="1DBDF94E" w:rsidR="002F5B42" w:rsidRDefault="0004183E" w:rsidP="00BA09FB">
            <w:r>
              <w:t>80.00%</w:t>
            </w:r>
          </w:p>
        </w:tc>
      </w:tr>
      <w:tr w:rsidR="002F5B42" w14:paraId="743AEBE4" w14:textId="77777777" w:rsidTr="054654CC">
        <w:tc>
          <w:tcPr>
            <w:tcW w:w="1800" w:type="dxa"/>
          </w:tcPr>
          <w:p w14:paraId="2BBFD01B" w14:textId="0A701763" w:rsidR="002F5B42" w:rsidRDefault="0004183E" w:rsidP="00BA09FB">
            <w:r w:rsidRPr="0004183E">
              <w:t>2023-02-02</w:t>
            </w:r>
          </w:p>
        </w:tc>
        <w:tc>
          <w:tcPr>
            <w:tcW w:w="1080" w:type="dxa"/>
          </w:tcPr>
          <w:p w14:paraId="789F6D41" w14:textId="0A5A9518" w:rsidR="002F5B42" w:rsidRDefault="0004183E" w:rsidP="00BA09FB">
            <w:r>
              <w:t>Dengue</w:t>
            </w:r>
          </w:p>
        </w:tc>
        <w:tc>
          <w:tcPr>
            <w:tcW w:w="870" w:type="dxa"/>
          </w:tcPr>
          <w:p w14:paraId="172F4177" w14:textId="16691C12" w:rsidR="002F5B42" w:rsidRDefault="0004183E" w:rsidP="00BA09FB">
            <w:r>
              <w:t>13</w:t>
            </w:r>
          </w:p>
        </w:tc>
        <w:tc>
          <w:tcPr>
            <w:tcW w:w="1395" w:type="dxa"/>
          </w:tcPr>
          <w:p w14:paraId="0AEF2676" w14:textId="52FBC716" w:rsidR="002F5B42" w:rsidRDefault="0004183E" w:rsidP="00BA09FB">
            <w:r>
              <w:t>21</w:t>
            </w:r>
          </w:p>
        </w:tc>
        <w:tc>
          <w:tcPr>
            <w:tcW w:w="1305" w:type="dxa"/>
          </w:tcPr>
          <w:p w14:paraId="13A32123" w14:textId="3891B3A6" w:rsidR="002F5B42" w:rsidRDefault="0004183E" w:rsidP="00BA09FB">
            <w:r>
              <w:t>61.90%</w:t>
            </w:r>
          </w:p>
        </w:tc>
      </w:tr>
      <w:tr w:rsidR="002F5B42" w14:paraId="5CC9FE79" w14:textId="77777777" w:rsidTr="054654CC">
        <w:tc>
          <w:tcPr>
            <w:tcW w:w="1800" w:type="dxa"/>
          </w:tcPr>
          <w:p w14:paraId="10D02D3D" w14:textId="204A896F" w:rsidR="002F5B42" w:rsidRDefault="0004183E" w:rsidP="00BA09FB">
            <w:r w:rsidRPr="0004183E">
              <w:lastRenderedPageBreak/>
              <w:t>2022-12-08</w:t>
            </w:r>
          </w:p>
        </w:tc>
        <w:tc>
          <w:tcPr>
            <w:tcW w:w="1080" w:type="dxa"/>
          </w:tcPr>
          <w:p w14:paraId="1D6432D0" w14:textId="5016742A" w:rsidR="002F5B42" w:rsidRDefault="0004183E" w:rsidP="00BA09FB">
            <w:r>
              <w:t>Dengue</w:t>
            </w:r>
          </w:p>
        </w:tc>
        <w:tc>
          <w:tcPr>
            <w:tcW w:w="870" w:type="dxa"/>
          </w:tcPr>
          <w:p w14:paraId="27FE0B23" w14:textId="56ACBDDD" w:rsidR="002F5B42" w:rsidRDefault="0004183E" w:rsidP="00BA09FB">
            <w:r>
              <w:t>11</w:t>
            </w:r>
          </w:p>
        </w:tc>
        <w:tc>
          <w:tcPr>
            <w:tcW w:w="1395" w:type="dxa"/>
          </w:tcPr>
          <w:p w14:paraId="57FE12AF" w14:textId="65791D66" w:rsidR="002F5B42" w:rsidRDefault="0004183E" w:rsidP="00BA09FB">
            <w:r>
              <w:t>18</w:t>
            </w:r>
          </w:p>
        </w:tc>
        <w:tc>
          <w:tcPr>
            <w:tcW w:w="1305" w:type="dxa"/>
          </w:tcPr>
          <w:p w14:paraId="491F9CAA" w14:textId="46BA59E0" w:rsidR="002F5B42" w:rsidRDefault="0004183E" w:rsidP="00BA09FB">
            <w:r>
              <w:t>61.11%</w:t>
            </w:r>
          </w:p>
        </w:tc>
      </w:tr>
    </w:tbl>
    <w:p w14:paraId="39B46D5F" w14:textId="3376AFE6" w:rsidR="720A173C" w:rsidRDefault="720A173C" w:rsidP="720A173C">
      <w:pPr>
        <w:spacing w:line="240" w:lineRule="auto"/>
      </w:pPr>
    </w:p>
    <w:p w14:paraId="1BC64316" w14:textId="42F4257C" w:rsidR="1A8843ED" w:rsidRDefault="133111A4" w:rsidP="1A8843ED">
      <w:pPr>
        <w:spacing w:line="240" w:lineRule="auto"/>
      </w:pPr>
      <w:r w:rsidRPr="720A173C">
        <w:rPr>
          <w:b/>
          <w:bCs/>
        </w:rPr>
        <w:t>Conclusion</w:t>
      </w:r>
    </w:p>
    <w:p w14:paraId="1F2C2F67" w14:textId="7B3BD37A" w:rsidR="1A8843ED" w:rsidRDefault="62710E3C" w:rsidP="720A173C">
      <w:pPr>
        <w:spacing w:line="240" w:lineRule="auto"/>
      </w:pPr>
      <w:r>
        <w:t xml:space="preserve">The lower cutoff for spike-in RPM is 12.41 - 100, while 12.41 (5th percentile) </w:t>
      </w:r>
      <w:r w:rsidR="0F608D8E">
        <w:t>is</w:t>
      </w:r>
      <w:r w:rsidR="716935C3">
        <w:t xml:space="preserve"> </w:t>
      </w:r>
      <w:r>
        <w:t xml:space="preserve">the lowest </w:t>
      </w:r>
      <w:r w:rsidR="22101E98">
        <w:t>value</w:t>
      </w:r>
      <w:r w:rsidR="33415256">
        <w:t>.</w:t>
      </w:r>
      <w:r w:rsidR="1BFA536F">
        <w:t xml:space="preserve"> This means</w:t>
      </w:r>
      <w:r w:rsidR="783E94D1">
        <w:t>,</w:t>
      </w:r>
      <w:r w:rsidR="1BFA536F">
        <w:t xml:space="preserve"> </w:t>
      </w:r>
      <w:r w:rsidR="00C25A7A">
        <w:t xml:space="preserve">that </w:t>
      </w:r>
      <w:r w:rsidR="783E94D1">
        <w:t xml:space="preserve">for </w:t>
      </w:r>
      <w:r w:rsidR="1BFA536F">
        <w:t>any samples with RPM lower than 12.41</w:t>
      </w:r>
      <w:r w:rsidR="138117E1">
        <w:t>, their assigned spike-in aliquots</w:t>
      </w:r>
      <w:r w:rsidR="1BFA536F">
        <w:t xml:space="preserve"> should be checked</w:t>
      </w:r>
      <w:r w:rsidR="6382F655">
        <w:t xml:space="preserve"> to </w:t>
      </w:r>
      <w:r w:rsidR="69C396B0">
        <w:t>confirm</w:t>
      </w:r>
      <w:r w:rsidR="6382F655">
        <w:t xml:space="preserve"> if they have the appropriate concentration</w:t>
      </w:r>
      <w:r w:rsidR="1BFA536F">
        <w:t xml:space="preserve">. </w:t>
      </w:r>
    </w:p>
    <w:p w14:paraId="43834E00" w14:textId="67F54704" w:rsidR="1A8843ED" w:rsidRDefault="33415256" w:rsidP="720A173C">
      <w:pPr>
        <w:spacing w:line="240" w:lineRule="auto"/>
      </w:pPr>
      <w:r>
        <w:t>The</w:t>
      </w:r>
      <w:r w:rsidR="267B55EC">
        <w:t xml:space="preserve"> </w:t>
      </w:r>
      <w:r w:rsidR="0CB160AD">
        <w:t xml:space="preserve">upper </w:t>
      </w:r>
      <w:r>
        <w:t xml:space="preserve">cutoff for spike-in </w:t>
      </w:r>
      <w:r w:rsidR="1DDB8BAF">
        <w:t xml:space="preserve">SHR </w:t>
      </w:r>
      <w:r>
        <w:t xml:space="preserve">is </w:t>
      </w:r>
      <w:r w:rsidR="2EAAE7EC">
        <w:t>0.1</w:t>
      </w:r>
      <w:r w:rsidR="250BD310">
        <w:t>6</w:t>
      </w:r>
      <w:r w:rsidR="2EAAE7EC">
        <w:t xml:space="preserve"> - 0.43</w:t>
      </w:r>
      <w:r>
        <w:t xml:space="preserve">, while </w:t>
      </w:r>
      <w:r w:rsidR="1657DC56">
        <w:t xml:space="preserve">0.43 </w:t>
      </w:r>
      <w:r>
        <w:t>(</w:t>
      </w:r>
      <w:r w:rsidR="0B844ABE">
        <w:t>90</w:t>
      </w:r>
      <w:r>
        <w:t xml:space="preserve">th percentile) </w:t>
      </w:r>
      <w:r w:rsidR="350683E2">
        <w:t>is</w:t>
      </w:r>
      <w:r w:rsidR="28CA4AEF">
        <w:t xml:space="preserve"> </w:t>
      </w:r>
      <w:r>
        <w:t xml:space="preserve">the </w:t>
      </w:r>
      <w:r w:rsidR="1B4F6868">
        <w:t xml:space="preserve">highest </w:t>
      </w:r>
      <w:r w:rsidR="64146B08">
        <w:t>value</w:t>
      </w:r>
      <w:r>
        <w:t xml:space="preserve">. </w:t>
      </w:r>
      <w:r w:rsidR="6697680B">
        <w:t xml:space="preserve">This indicates that, for any samples with SHR greater than 0.43, their assigned spike-in aliquots should be checked to </w:t>
      </w:r>
      <w:r w:rsidR="4859264A">
        <w:t xml:space="preserve">confirm </w:t>
      </w:r>
      <w:r w:rsidR="6697680B">
        <w:t xml:space="preserve">if there </w:t>
      </w:r>
      <w:r w:rsidR="2D57E558">
        <w:t>is</w:t>
      </w:r>
      <w:r w:rsidR="6697680B">
        <w:t xml:space="preserve"> potential contamination</w:t>
      </w:r>
      <w:r w:rsidR="0AF2EFA9">
        <w:t xml:space="preserve">. </w:t>
      </w:r>
    </w:p>
    <w:p w14:paraId="009B9E5B" w14:textId="56FEF33C" w:rsidR="1A8843ED" w:rsidRDefault="33415256" w:rsidP="720A173C">
      <w:pPr>
        <w:spacing w:line="240" w:lineRule="auto"/>
      </w:pPr>
      <w:r>
        <w:t xml:space="preserve">For future direction, having more data could </w:t>
      </w:r>
      <w:r w:rsidR="3E899E15">
        <w:t>narrow</w:t>
      </w:r>
      <w:r>
        <w:t xml:space="preserve"> the range of the cutoffs.</w:t>
      </w:r>
    </w:p>
    <w:p w14:paraId="17367CCA" w14:textId="15BC38C1" w:rsidR="720A173C" w:rsidRDefault="720A173C" w:rsidP="720A173C">
      <w:pPr>
        <w:spacing w:line="240" w:lineRule="auto"/>
      </w:pPr>
    </w:p>
    <w:p w14:paraId="0260220F" w14:textId="320CB0F2" w:rsidR="774B9A05" w:rsidRDefault="774B9A05" w:rsidP="720A173C">
      <w:pPr>
        <w:spacing w:line="240" w:lineRule="auto"/>
        <w:rPr>
          <w:b/>
          <w:bCs/>
        </w:rPr>
      </w:pPr>
      <w:r w:rsidRPr="720A173C">
        <w:rPr>
          <w:b/>
          <w:bCs/>
        </w:rPr>
        <w:t>Supplement</w:t>
      </w:r>
      <w:r w:rsidR="7E282971" w:rsidRPr="720A173C">
        <w:rPr>
          <w:b/>
          <w:bCs/>
        </w:rPr>
        <w:t>:</w:t>
      </w:r>
      <w:r w:rsidRPr="720A173C">
        <w:rPr>
          <w:b/>
          <w:bCs/>
        </w:rPr>
        <w:t xml:space="preserve"> R Function</w:t>
      </w:r>
    </w:p>
    <w:p w14:paraId="225E4A77" w14:textId="6D38E1D3" w:rsidR="47779AF1" w:rsidRDefault="47779AF1" w:rsidP="720A173C">
      <w:pPr>
        <w:spacing w:line="240" w:lineRule="auto"/>
      </w:pPr>
      <w:r>
        <w:t>Confirm_spikein3.0.1 is a</w:t>
      </w:r>
      <w:r w:rsidR="22011391">
        <w:t xml:space="preserve">n R </w:t>
      </w:r>
      <w:r w:rsidR="7FB5E9BE">
        <w:t>function</w:t>
      </w:r>
      <w:r w:rsidR="22011391">
        <w:t xml:space="preserve"> </w:t>
      </w:r>
      <w:r w:rsidR="0F75FEC2">
        <w:t>developed to calculat</w:t>
      </w:r>
      <w:r w:rsidR="6B5156FD">
        <w:t xml:space="preserve">e </w:t>
      </w:r>
      <w:r w:rsidR="0F75FEC2">
        <w:t>whether the expected spike-ins are confirmed and other spike-ins detected and their reads.</w:t>
      </w:r>
      <w:r w:rsidR="2FD8A071">
        <w:t xml:space="preserve"> </w:t>
      </w:r>
      <w:r w:rsidR="15A3E49F">
        <w:t xml:space="preserve">The calculated results </w:t>
      </w:r>
      <w:r w:rsidR="36A777A2">
        <w:t>are</w:t>
      </w:r>
      <w:r w:rsidR="15A3E49F">
        <w:t xml:space="preserve"> exported </w:t>
      </w:r>
      <w:r w:rsidR="3DAE0376">
        <w:t>as</w:t>
      </w:r>
      <w:r w:rsidR="15A3E49F">
        <w:t xml:space="preserve"> </w:t>
      </w:r>
      <w:r w:rsidR="3DAE0376">
        <w:t xml:space="preserve">an </w:t>
      </w:r>
      <w:r w:rsidR="15A3E49F">
        <w:t>Excel</w:t>
      </w:r>
      <w:r w:rsidR="47041B4A">
        <w:t xml:space="preserve"> file</w:t>
      </w:r>
      <w:r w:rsidR="15A3E49F">
        <w:t>, which can then be copied to SSSSS on Microsoft Teams.</w:t>
      </w:r>
    </w:p>
    <w:sectPr w:rsidR="47779AF1" w:rsidSect="006A1E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E1F73"/>
    <w:multiLevelType w:val="hybridMultilevel"/>
    <w:tmpl w:val="6ECC1DFA"/>
    <w:lvl w:ilvl="0" w:tplc="60D2D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D01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E5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60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60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2CA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065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A6D9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EC0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3C123"/>
    <w:multiLevelType w:val="hybridMultilevel"/>
    <w:tmpl w:val="DEBA3A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E456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F2B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825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08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F62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272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EE1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B6D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125322">
    <w:abstractNumId w:val="0"/>
  </w:num>
  <w:num w:numId="2" w16cid:durableId="1710253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024EA4"/>
    <w:rsid w:val="00005B56"/>
    <w:rsid w:val="00016E01"/>
    <w:rsid w:val="0004183E"/>
    <w:rsid w:val="00052492"/>
    <w:rsid w:val="000607B2"/>
    <w:rsid w:val="000F0977"/>
    <w:rsid w:val="000F7264"/>
    <w:rsid w:val="00117D1E"/>
    <w:rsid w:val="00134069"/>
    <w:rsid w:val="00167594"/>
    <w:rsid w:val="00174D9F"/>
    <w:rsid w:val="001C51DF"/>
    <w:rsid w:val="00212F97"/>
    <w:rsid w:val="00241FD8"/>
    <w:rsid w:val="00282E7F"/>
    <w:rsid w:val="002B3957"/>
    <w:rsid w:val="002F246F"/>
    <w:rsid w:val="002F5B42"/>
    <w:rsid w:val="00304566"/>
    <w:rsid w:val="00340A69"/>
    <w:rsid w:val="003410E2"/>
    <w:rsid w:val="003E67F8"/>
    <w:rsid w:val="00430884"/>
    <w:rsid w:val="004411D9"/>
    <w:rsid w:val="00446A54"/>
    <w:rsid w:val="004759A1"/>
    <w:rsid w:val="005070B3"/>
    <w:rsid w:val="0050AB93"/>
    <w:rsid w:val="005157CA"/>
    <w:rsid w:val="00574A50"/>
    <w:rsid w:val="005815F3"/>
    <w:rsid w:val="00584DDF"/>
    <w:rsid w:val="005A12E1"/>
    <w:rsid w:val="005D0464"/>
    <w:rsid w:val="005F25D3"/>
    <w:rsid w:val="005F4096"/>
    <w:rsid w:val="0066721C"/>
    <w:rsid w:val="0068350B"/>
    <w:rsid w:val="006A1ED8"/>
    <w:rsid w:val="007A472C"/>
    <w:rsid w:val="007A6DA4"/>
    <w:rsid w:val="00834664"/>
    <w:rsid w:val="008878DF"/>
    <w:rsid w:val="008A6027"/>
    <w:rsid w:val="00981A95"/>
    <w:rsid w:val="009B2F33"/>
    <w:rsid w:val="009C2B70"/>
    <w:rsid w:val="00A020CB"/>
    <w:rsid w:val="00A24089"/>
    <w:rsid w:val="00A27B60"/>
    <w:rsid w:val="00A34E92"/>
    <w:rsid w:val="00A454A0"/>
    <w:rsid w:val="00A46C23"/>
    <w:rsid w:val="00A50DEB"/>
    <w:rsid w:val="00A73EDF"/>
    <w:rsid w:val="00A80625"/>
    <w:rsid w:val="00A96EEA"/>
    <w:rsid w:val="00AA2339"/>
    <w:rsid w:val="00B162A7"/>
    <w:rsid w:val="00B3354A"/>
    <w:rsid w:val="00B84D63"/>
    <w:rsid w:val="00BE4FBC"/>
    <w:rsid w:val="00BE7577"/>
    <w:rsid w:val="00C15A0D"/>
    <w:rsid w:val="00C25A7A"/>
    <w:rsid w:val="00C620BD"/>
    <w:rsid w:val="00C6492A"/>
    <w:rsid w:val="00C66F53"/>
    <w:rsid w:val="00CA1C5A"/>
    <w:rsid w:val="00CD0D96"/>
    <w:rsid w:val="00D31F15"/>
    <w:rsid w:val="00D32A23"/>
    <w:rsid w:val="00D53D0F"/>
    <w:rsid w:val="00D54D22"/>
    <w:rsid w:val="00D630DE"/>
    <w:rsid w:val="00D725A3"/>
    <w:rsid w:val="00D750AA"/>
    <w:rsid w:val="00DA49A6"/>
    <w:rsid w:val="00DC3B39"/>
    <w:rsid w:val="00DE71E5"/>
    <w:rsid w:val="00E02312"/>
    <w:rsid w:val="00EA1A4D"/>
    <w:rsid w:val="00EE54E1"/>
    <w:rsid w:val="00EE6C66"/>
    <w:rsid w:val="00F2430E"/>
    <w:rsid w:val="00F25397"/>
    <w:rsid w:val="00F2715C"/>
    <w:rsid w:val="00F642D7"/>
    <w:rsid w:val="00FE61D5"/>
    <w:rsid w:val="00FF77BD"/>
    <w:rsid w:val="01890E50"/>
    <w:rsid w:val="018C20E0"/>
    <w:rsid w:val="0219FF0E"/>
    <w:rsid w:val="023AE3D9"/>
    <w:rsid w:val="0270B5E9"/>
    <w:rsid w:val="02746243"/>
    <w:rsid w:val="02E69313"/>
    <w:rsid w:val="040C864A"/>
    <w:rsid w:val="04E04FB5"/>
    <w:rsid w:val="051F9D87"/>
    <w:rsid w:val="054654CC"/>
    <w:rsid w:val="05608820"/>
    <w:rsid w:val="058FDA91"/>
    <w:rsid w:val="0632765F"/>
    <w:rsid w:val="064B3D82"/>
    <w:rsid w:val="0668ED18"/>
    <w:rsid w:val="0727D781"/>
    <w:rsid w:val="0793AE09"/>
    <w:rsid w:val="08034FEA"/>
    <w:rsid w:val="08BC3C94"/>
    <w:rsid w:val="08D3D905"/>
    <w:rsid w:val="09776C27"/>
    <w:rsid w:val="09A08DDA"/>
    <w:rsid w:val="09B2EA5E"/>
    <w:rsid w:val="09F3E5FB"/>
    <w:rsid w:val="0A5F7843"/>
    <w:rsid w:val="0AC2D22C"/>
    <w:rsid w:val="0AF2EFA9"/>
    <w:rsid w:val="0B3C5E3B"/>
    <w:rsid w:val="0B844ABE"/>
    <w:rsid w:val="0B9FD85D"/>
    <w:rsid w:val="0BE9C510"/>
    <w:rsid w:val="0C888F86"/>
    <w:rsid w:val="0CB160AD"/>
    <w:rsid w:val="0CB1D3E6"/>
    <w:rsid w:val="0CD86AB5"/>
    <w:rsid w:val="0CE99C44"/>
    <w:rsid w:val="0D971905"/>
    <w:rsid w:val="0DADA58D"/>
    <w:rsid w:val="0F4975EE"/>
    <w:rsid w:val="0F608D8E"/>
    <w:rsid w:val="0F75FEC2"/>
    <w:rsid w:val="0FC73FD1"/>
    <w:rsid w:val="1004F4B1"/>
    <w:rsid w:val="107AEDB9"/>
    <w:rsid w:val="10CEB9C7"/>
    <w:rsid w:val="11D8EACA"/>
    <w:rsid w:val="13003C9D"/>
    <w:rsid w:val="13202AA5"/>
    <w:rsid w:val="133111A4"/>
    <w:rsid w:val="13312356"/>
    <w:rsid w:val="136358D3"/>
    <w:rsid w:val="138117E1"/>
    <w:rsid w:val="13F3082D"/>
    <w:rsid w:val="14065A89"/>
    <w:rsid w:val="146A2E9C"/>
    <w:rsid w:val="15A22AEA"/>
    <w:rsid w:val="15A3E49F"/>
    <w:rsid w:val="15E758F3"/>
    <w:rsid w:val="1657DC56"/>
    <w:rsid w:val="167AB515"/>
    <w:rsid w:val="174E2C6E"/>
    <w:rsid w:val="175FBAEE"/>
    <w:rsid w:val="19F2BEEE"/>
    <w:rsid w:val="1A8149D2"/>
    <w:rsid w:val="1A8843ED"/>
    <w:rsid w:val="1B383EE1"/>
    <w:rsid w:val="1B4F6868"/>
    <w:rsid w:val="1B53038F"/>
    <w:rsid w:val="1B86053E"/>
    <w:rsid w:val="1BAE03E2"/>
    <w:rsid w:val="1BB2BFC4"/>
    <w:rsid w:val="1BFA536F"/>
    <w:rsid w:val="1D456C3B"/>
    <w:rsid w:val="1DDB8BAF"/>
    <w:rsid w:val="1E22D330"/>
    <w:rsid w:val="1E961347"/>
    <w:rsid w:val="1EB354DA"/>
    <w:rsid w:val="1ECC7D37"/>
    <w:rsid w:val="1ED8A63C"/>
    <w:rsid w:val="1FCA9150"/>
    <w:rsid w:val="200BB004"/>
    <w:rsid w:val="201156D8"/>
    <w:rsid w:val="20A35FD4"/>
    <w:rsid w:val="20C942ED"/>
    <w:rsid w:val="20DDEADD"/>
    <w:rsid w:val="22011391"/>
    <w:rsid w:val="22101E98"/>
    <w:rsid w:val="22195628"/>
    <w:rsid w:val="226CC461"/>
    <w:rsid w:val="2298CC9B"/>
    <w:rsid w:val="229AF090"/>
    <w:rsid w:val="2358A0A5"/>
    <w:rsid w:val="23DE682B"/>
    <w:rsid w:val="240ABF8E"/>
    <w:rsid w:val="24F47106"/>
    <w:rsid w:val="250BD310"/>
    <w:rsid w:val="267B55EC"/>
    <w:rsid w:val="27531561"/>
    <w:rsid w:val="2808EE97"/>
    <w:rsid w:val="28CA4AEF"/>
    <w:rsid w:val="29206C33"/>
    <w:rsid w:val="299259CD"/>
    <w:rsid w:val="29F1A4B7"/>
    <w:rsid w:val="2A64A424"/>
    <w:rsid w:val="2B5CE1EE"/>
    <w:rsid w:val="2C41D2D6"/>
    <w:rsid w:val="2D57E558"/>
    <w:rsid w:val="2E960A58"/>
    <w:rsid w:val="2EAAE7EC"/>
    <w:rsid w:val="2FD8A071"/>
    <w:rsid w:val="3040AD9C"/>
    <w:rsid w:val="3115E2C7"/>
    <w:rsid w:val="328AB90B"/>
    <w:rsid w:val="32A79438"/>
    <w:rsid w:val="33415256"/>
    <w:rsid w:val="34436499"/>
    <w:rsid w:val="34FD8BFC"/>
    <w:rsid w:val="350683E2"/>
    <w:rsid w:val="355C8CE6"/>
    <w:rsid w:val="35F21031"/>
    <w:rsid w:val="365C497F"/>
    <w:rsid w:val="36A777A2"/>
    <w:rsid w:val="37024EA4"/>
    <w:rsid w:val="37112780"/>
    <w:rsid w:val="37B9D56F"/>
    <w:rsid w:val="38395D61"/>
    <w:rsid w:val="39AA178E"/>
    <w:rsid w:val="39D8CC58"/>
    <w:rsid w:val="3B24E1E0"/>
    <w:rsid w:val="3C11B29F"/>
    <w:rsid w:val="3C18C228"/>
    <w:rsid w:val="3C286414"/>
    <w:rsid w:val="3C9E8DEF"/>
    <w:rsid w:val="3D203C1E"/>
    <w:rsid w:val="3D607C24"/>
    <w:rsid w:val="3DAE0376"/>
    <w:rsid w:val="3E899E15"/>
    <w:rsid w:val="3F3AF8B5"/>
    <w:rsid w:val="40B2F93F"/>
    <w:rsid w:val="40E523C2"/>
    <w:rsid w:val="411808F7"/>
    <w:rsid w:val="418B7844"/>
    <w:rsid w:val="41DA84E4"/>
    <w:rsid w:val="41EEE004"/>
    <w:rsid w:val="42FEC494"/>
    <w:rsid w:val="432A5259"/>
    <w:rsid w:val="4375D157"/>
    <w:rsid w:val="43C71288"/>
    <w:rsid w:val="44643FC1"/>
    <w:rsid w:val="44907777"/>
    <w:rsid w:val="449622AF"/>
    <w:rsid w:val="451D5CF7"/>
    <w:rsid w:val="4603D82E"/>
    <w:rsid w:val="467413CC"/>
    <w:rsid w:val="469E94B3"/>
    <w:rsid w:val="46A14881"/>
    <w:rsid w:val="47041B4A"/>
    <w:rsid w:val="4765ABB0"/>
    <w:rsid w:val="4774E641"/>
    <w:rsid w:val="47779AF1"/>
    <w:rsid w:val="47D874A4"/>
    <w:rsid w:val="48549C87"/>
    <w:rsid w:val="4859264A"/>
    <w:rsid w:val="48731FE8"/>
    <w:rsid w:val="48CDBDBE"/>
    <w:rsid w:val="492AAF5A"/>
    <w:rsid w:val="49B5E523"/>
    <w:rsid w:val="4A07941C"/>
    <w:rsid w:val="4A82E8BD"/>
    <w:rsid w:val="4A8EAA41"/>
    <w:rsid w:val="4AC161FA"/>
    <w:rsid w:val="4B6F7223"/>
    <w:rsid w:val="4C1C7260"/>
    <w:rsid w:val="4C855B40"/>
    <w:rsid w:val="4E1421AC"/>
    <w:rsid w:val="4E65FD54"/>
    <w:rsid w:val="4EC9390F"/>
    <w:rsid w:val="4ED564B4"/>
    <w:rsid w:val="4F413897"/>
    <w:rsid w:val="4F78757C"/>
    <w:rsid w:val="4FACD1B6"/>
    <w:rsid w:val="51BD4F7B"/>
    <w:rsid w:val="51D60887"/>
    <w:rsid w:val="528308C4"/>
    <w:rsid w:val="52E792CF"/>
    <w:rsid w:val="5393E2A7"/>
    <w:rsid w:val="5431F727"/>
    <w:rsid w:val="54ABB977"/>
    <w:rsid w:val="552FB308"/>
    <w:rsid w:val="55B601B3"/>
    <w:rsid w:val="55D67101"/>
    <w:rsid w:val="56CB8369"/>
    <w:rsid w:val="56F784CC"/>
    <w:rsid w:val="57517678"/>
    <w:rsid w:val="57A16F58"/>
    <w:rsid w:val="57BB03F2"/>
    <w:rsid w:val="583C9EEB"/>
    <w:rsid w:val="58B17996"/>
    <w:rsid w:val="59520EF6"/>
    <w:rsid w:val="596DCF06"/>
    <w:rsid w:val="5978DD74"/>
    <w:rsid w:val="5981EFB8"/>
    <w:rsid w:val="5A03D38C"/>
    <w:rsid w:val="5A57A4F5"/>
    <w:rsid w:val="5AE4910B"/>
    <w:rsid w:val="5AEAE38C"/>
    <w:rsid w:val="5AF3A709"/>
    <w:rsid w:val="5B7CC468"/>
    <w:rsid w:val="5D4B79FE"/>
    <w:rsid w:val="5D4D9DF3"/>
    <w:rsid w:val="5E0DF5EB"/>
    <w:rsid w:val="5E39C628"/>
    <w:rsid w:val="5F60D3AD"/>
    <w:rsid w:val="5F88F60F"/>
    <w:rsid w:val="5FBB4BD8"/>
    <w:rsid w:val="60853EB5"/>
    <w:rsid w:val="609B78D4"/>
    <w:rsid w:val="61DFB0C5"/>
    <w:rsid w:val="621448A9"/>
    <w:rsid w:val="621EEB21"/>
    <w:rsid w:val="622FF384"/>
    <w:rsid w:val="62466692"/>
    <w:rsid w:val="62710E3C"/>
    <w:rsid w:val="630AC08E"/>
    <w:rsid w:val="6382F655"/>
    <w:rsid w:val="64146B08"/>
    <w:rsid w:val="647D376F"/>
    <w:rsid w:val="64CF59E3"/>
    <w:rsid w:val="656B5A51"/>
    <w:rsid w:val="6642C4FF"/>
    <w:rsid w:val="664A4ED6"/>
    <w:rsid w:val="6650137E"/>
    <w:rsid w:val="66614922"/>
    <w:rsid w:val="6697680B"/>
    <w:rsid w:val="66B321E8"/>
    <w:rsid w:val="66C51588"/>
    <w:rsid w:val="66F25C44"/>
    <w:rsid w:val="670FAEA7"/>
    <w:rsid w:val="67362443"/>
    <w:rsid w:val="68651106"/>
    <w:rsid w:val="69C396B0"/>
    <w:rsid w:val="6A52A767"/>
    <w:rsid w:val="6B04979C"/>
    <w:rsid w:val="6B3F114C"/>
    <w:rsid w:val="6B5156FD"/>
    <w:rsid w:val="6B68AB35"/>
    <w:rsid w:val="6C353EBC"/>
    <w:rsid w:val="6D047B96"/>
    <w:rsid w:val="6F6A6E03"/>
    <w:rsid w:val="6FCD6051"/>
    <w:rsid w:val="716935C3"/>
    <w:rsid w:val="7188D84C"/>
    <w:rsid w:val="71BC189F"/>
    <w:rsid w:val="71F7D60F"/>
    <w:rsid w:val="720A173C"/>
    <w:rsid w:val="724490EF"/>
    <w:rsid w:val="73B05AC2"/>
    <w:rsid w:val="74199A90"/>
    <w:rsid w:val="744B4651"/>
    <w:rsid w:val="74C0790E"/>
    <w:rsid w:val="753562D7"/>
    <w:rsid w:val="7569FABB"/>
    <w:rsid w:val="75FEE8E1"/>
    <w:rsid w:val="765C496F"/>
    <w:rsid w:val="774B9A05"/>
    <w:rsid w:val="77E31AA4"/>
    <w:rsid w:val="7811E1A6"/>
    <w:rsid w:val="783E94D1"/>
    <w:rsid w:val="784EFCBF"/>
    <w:rsid w:val="79CF1FAE"/>
    <w:rsid w:val="7A08D3FA"/>
    <w:rsid w:val="7A65A403"/>
    <w:rsid w:val="7AC3F8FF"/>
    <w:rsid w:val="7B2FBA92"/>
    <w:rsid w:val="7C182A75"/>
    <w:rsid w:val="7CB8AFBC"/>
    <w:rsid w:val="7D7545C8"/>
    <w:rsid w:val="7D9D44C5"/>
    <w:rsid w:val="7DDFDDE6"/>
    <w:rsid w:val="7DEF206D"/>
    <w:rsid w:val="7E282971"/>
    <w:rsid w:val="7EA054E9"/>
    <w:rsid w:val="7EA26AF0"/>
    <w:rsid w:val="7F391526"/>
    <w:rsid w:val="7F8CA2CA"/>
    <w:rsid w:val="7FB5E9BE"/>
    <w:rsid w:val="7FC334DA"/>
    <w:rsid w:val="7FF5D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4EA4"/>
  <w15:chartTrackingRefBased/>
  <w15:docId w15:val="{1BE1A79F-F5B3-4FD6-B95F-A94F0BF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C668300AFC5C45958DFEF0F863C1C4" ma:contentTypeVersion="18" ma:contentTypeDescription="Create a new document." ma:contentTypeScope="" ma:versionID="d946359b21fbd6d2a30cccc4ca82761e">
  <xsd:schema xmlns:xsd="http://www.w3.org/2001/XMLSchema" xmlns:xs="http://www.w3.org/2001/XMLSchema" xmlns:p="http://schemas.microsoft.com/office/2006/metadata/properties" xmlns:ns2="1dcf745b-a502-4e2f-b3b0-cb75225f8175" xmlns:ns3="399fdee1-711f-447b-aa81-4af469c55bf9" targetNamespace="http://schemas.microsoft.com/office/2006/metadata/properties" ma:root="true" ma:fieldsID="bc68ac94d8063e3aaff6062d46b4dbce" ns2:_="" ns3:_="">
    <xsd:import namespace="1dcf745b-a502-4e2f-b3b0-cb75225f8175"/>
    <xsd:import namespace="399fdee1-711f-447b-aa81-4af469c55b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f745b-a502-4e2f-b3b0-cb75225f81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92fa3da-db31-45ba-92de-38f16e295a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9fdee1-711f-447b-aa81-4af469c55b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4ea567f-202d-4f96-ae01-e310c7d7e926}" ma:internalName="TaxCatchAll" ma:showField="CatchAllData" ma:web="399fdee1-711f-447b-aa81-4af469c55b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cf745b-a502-4e2f-b3b0-cb75225f8175">
      <Terms xmlns="http://schemas.microsoft.com/office/infopath/2007/PartnerControls"/>
    </lcf76f155ced4ddcb4097134ff3c332f>
    <TaxCatchAll xmlns="399fdee1-711f-447b-aa81-4af469c55bf9" xsi:nil="true"/>
  </documentManagement>
</p:properties>
</file>

<file path=customXml/itemProps1.xml><?xml version="1.0" encoding="utf-8"?>
<ds:datastoreItem xmlns:ds="http://schemas.openxmlformats.org/officeDocument/2006/customXml" ds:itemID="{CF564CE5-B028-4406-93B7-F17B3C73FB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f745b-a502-4e2f-b3b0-cb75225f8175"/>
    <ds:schemaRef ds:uri="399fdee1-711f-447b-aa81-4af469c55b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19106E-DE0E-4DAA-B49D-E929BB9E9F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B11992-F748-4E28-9735-A045FB02D5CD}">
  <ds:schemaRefs>
    <ds:schemaRef ds:uri="http://schemas.microsoft.com/office/2006/metadata/properties"/>
    <ds:schemaRef ds:uri="http://schemas.microsoft.com/office/infopath/2007/PartnerControls"/>
    <ds:schemaRef ds:uri="1dcf745b-a502-4e2f-b3b0-cb75225f8175"/>
    <ds:schemaRef ds:uri="399fdee1-711f-447b-aa81-4af469c55b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Carol</dc:creator>
  <cp:keywords/>
  <dc:description/>
  <cp:lastModifiedBy>Zhou, Carol</cp:lastModifiedBy>
  <cp:revision>90</cp:revision>
  <dcterms:created xsi:type="dcterms:W3CDTF">2023-08-10T14:53:00Z</dcterms:created>
  <dcterms:modified xsi:type="dcterms:W3CDTF">2024-02-15T23:45:00Z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0x0101006BC668300AFC5C45958DFEF0F863C1C4</vt:lpwstr>
  </property>
  <property fmtid="{D5CDD505-2E9C-101B-9397-08002B2CF9AE}" pid="3" name="MediaServiceImageTags">
    <vt:lpwstr/>
  </property>
</Properties>
</file>