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C43DA">
      <w:pPr>
        <w:jc w:val="center"/>
        <w:rPr>
          <w:b/>
          <w:sz w:val="36"/>
        </w:rPr>
      </w:pPr>
      <w:r>
        <w:rPr>
          <w:b/>
          <w:sz w:val="36"/>
        </w:rPr>
        <w:t>CISC7204 Project Proposal</w:t>
      </w:r>
    </w:p>
    <w:p w14:paraId="11B440F4">
      <w:pPr>
        <w:jc w:val="both"/>
        <w:rPr>
          <w:rFonts w:hint="default" w:eastAsia="宋体"/>
          <w:b/>
          <w:sz w:val="24"/>
          <w:szCs w:val="24"/>
          <w:lang w:val="en-US" w:eastAsia="zh-CN"/>
        </w:rPr>
      </w:pPr>
      <w:r>
        <w:rPr>
          <w:rFonts w:hint="eastAsia" w:ascii="Segoe UI" w:hAnsi="Segoe UI" w:eastAsia="宋体" w:cs="Segoe UI"/>
          <w:b/>
          <w:bCs/>
          <w:i w:val="0"/>
          <w:iCs w:val="0"/>
          <w:caps w:val="0"/>
          <w:color w:val="1D2125"/>
          <w:spacing w:val="0"/>
          <w:sz w:val="24"/>
          <w:szCs w:val="24"/>
          <w:shd w:val="clear" w:fill="FFFFFF"/>
          <w:lang w:val="en-US" w:eastAsia="zh-CN"/>
        </w:rPr>
        <w:t>S</w:t>
      </w:r>
      <w:r>
        <w:rPr>
          <w:rFonts w:ascii="Segoe UI" w:hAnsi="Segoe UI" w:eastAsia="Segoe UI" w:cs="Segoe UI"/>
          <w:b/>
          <w:bCs/>
          <w:i w:val="0"/>
          <w:iCs w:val="0"/>
          <w:caps w:val="0"/>
          <w:color w:val="1D2125"/>
          <w:spacing w:val="0"/>
          <w:sz w:val="24"/>
          <w:szCs w:val="24"/>
          <w:shd w:val="clear" w:fill="FFFFFF"/>
        </w:rPr>
        <w:t>tudent ID and name</w:t>
      </w:r>
      <w:r>
        <w:rPr>
          <w:rFonts w:hint="eastAsia" w:ascii="Segoe UI" w:hAnsi="Segoe UI" w:eastAsia="宋体" w:cs="Segoe UI"/>
          <w:i w:val="0"/>
          <w:iCs w:val="0"/>
          <w:caps w:val="0"/>
          <w:color w:val="1D2125"/>
          <w:spacing w:val="0"/>
          <w:sz w:val="24"/>
          <w:szCs w:val="24"/>
          <w:shd w:val="clear" w:fill="FFFFFF"/>
          <w:lang w:val="en-US" w:eastAsia="zh-CN"/>
        </w:rPr>
        <w:t>:</w:t>
      </w:r>
      <w:r>
        <w:rPr>
          <w:rFonts w:hint="eastAsia" w:eastAsia="宋体"/>
          <w:b/>
          <w:sz w:val="24"/>
          <w:szCs w:val="24"/>
          <w:lang w:val="en-US" w:eastAsia="zh-CN"/>
        </w:rPr>
        <w:t xml:space="preserve"> </w:t>
      </w:r>
      <w:r>
        <w:rPr>
          <w:rFonts w:hint="eastAsia" w:ascii="Segoe UI" w:hAnsi="Segoe UI" w:eastAsia="宋体" w:cs="Segoe UI"/>
          <w:i w:val="0"/>
          <w:iCs w:val="0"/>
          <w:caps w:val="0"/>
          <w:color w:val="1D2125"/>
          <w:spacing w:val="0"/>
          <w:sz w:val="24"/>
          <w:szCs w:val="24"/>
          <w:shd w:val="clear" w:fill="FFFFFF"/>
          <w:lang w:val="en-US" w:eastAsia="zh-CN"/>
        </w:rPr>
        <w:t xml:space="preserve">mc653871Zhang Yifan, mc653425Li </w:t>
      </w:r>
      <w:r>
        <w:rPr>
          <w:rFonts w:hint="eastAsia" w:ascii="Segoe UI" w:hAnsi="Segoe UI" w:eastAsia="Segoe UI" w:cs="Segoe UI"/>
          <w:i w:val="0"/>
          <w:iCs w:val="0"/>
          <w:caps w:val="0"/>
          <w:color w:val="1D2125"/>
          <w:spacing w:val="0"/>
          <w:sz w:val="24"/>
          <w:szCs w:val="24"/>
          <w:shd w:val="clear" w:fill="FFFFFF"/>
          <w:lang w:val="en-US" w:eastAsia="zh-CN"/>
        </w:rPr>
        <w:t>Xinhang</w:t>
      </w:r>
    </w:p>
    <w:p w14:paraId="2DE46CA1">
      <w:pPr>
        <w:jc w:val="both"/>
        <w:rPr>
          <w:rFonts w:hint="eastAsia" w:ascii="Segoe UI" w:hAnsi="Segoe UI" w:eastAsia="Segoe UI" w:cs="Segoe UI"/>
          <w:i w:val="0"/>
          <w:iCs w:val="0"/>
          <w:color w:val="1D2125"/>
          <w:spacing w:val="0"/>
          <w:sz w:val="24"/>
          <w:szCs w:val="24"/>
          <w:shd w:val="clear" w:fill="FFFFFF"/>
          <w:lang w:val="en-US" w:eastAsia="zh-CN"/>
        </w:rPr>
      </w:pPr>
      <w:r>
        <w:rPr>
          <w:rFonts w:ascii="Segoe UI" w:hAnsi="Segoe UI" w:eastAsia="Segoe UI" w:cs="Segoe UI"/>
          <w:b/>
          <w:bCs/>
          <w:i w:val="0"/>
          <w:iCs w:val="0"/>
          <w:color w:val="1D2125"/>
          <w:spacing w:val="0"/>
          <w:sz w:val="24"/>
          <w:szCs w:val="24"/>
          <w:shd w:val="clear" w:fill="FFFFFF"/>
        </w:rPr>
        <w:t>C</w:t>
      </w:r>
      <w:r>
        <w:rPr>
          <w:rFonts w:ascii="Segoe UI" w:hAnsi="Segoe UI" w:eastAsia="Segoe UI" w:cs="Segoe UI"/>
          <w:b/>
          <w:bCs/>
          <w:i w:val="0"/>
          <w:iCs w:val="0"/>
          <w:caps w:val="0"/>
          <w:color w:val="1D2125"/>
          <w:spacing w:val="0"/>
          <w:sz w:val="24"/>
          <w:szCs w:val="24"/>
          <w:shd w:val="clear" w:fill="FFFFFF"/>
        </w:rPr>
        <w:t>ourse</w:t>
      </w:r>
      <w:r>
        <w:rPr>
          <w:rFonts w:hint="eastAsia" w:ascii="Segoe UI" w:hAnsi="Segoe UI" w:eastAsia="宋体" w:cs="Segoe UI"/>
          <w:b/>
          <w:bCs/>
          <w:i w:val="0"/>
          <w:iCs w:val="0"/>
          <w:caps w:val="0"/>
          <w:color w:val="1D2125"/>
          <w:spacing w:val="0"/>
          <w:sz w:val="24"/>
          <w:szCs w:val="24"/>
          <w:shd w:val="clear" w:fill="FFFFFF"/>
          <w:lang w:val="en-US" w:eastAsia="zh-CN"/>
        </w:rPr>
        <w:t xml:space="preserve"> </w:t>
      </w:r>
      <w:r>
        <w:rPr>
          <w:rFonts w:ascii="Segoe UI" w:hAnsi="Segoe UI" w:eastAsia="Segoe UI" w:cs="Segoe UI"/>
          <w:b/>
          <w:bCs/>
          <w:i w:val="0"/>
          <w:iCs w:val="0"/>
          <w:caps w:val="0"/>
          <w:color w:val="1D2125"/>
          <w:spacing w:val="0"/>
          <w:sz w:val="24"/>
          <w:szCs w:val="24"/>
          <w:shd w:val="clear" w:fill="FFFFFF"/>
        </w:rPr>
        <w:t>code</w:t>
      </w:r>
      <w:r>
        <w:rPr>
          <w:rFonts w:hint="eastAsia" w:ascii="Segoe UI" w:hAnsi="Segoe UI" w:eastAsia="宋体" w:cs="Segoe UI"/>
          <w:b/>
          <w:bCs/>
          <w:i w:val="0"/>
          <w:iCs w:val="0"/>
          <w:caps w:val="0"/>
          <w:color w:val="1D2125"/>
          <w:spacing w:val="0"/>
          <w:sz w:val="24"/>
          <w:szCs w:val="24"/>
          <w:shd w:val="clear" w:fill="FFFFFF"/>
          <w:lang w:val="en-US" w:eastAsia="zh-CN"/>
        </w:rPr>
        <w:t xml:space="preserve"> and </w:t>
      </w:r>
      <w:r>
        <w:rPr>
          <w:rFonts w:ascii="Segoe UI" w:hAnsi="Segoe UI" w:eastAsia="Segoe UI" w:cs="Segoe UI"/>
          <w:b/>
          <w:bCs/>
          <w:i w:val="0"/>
          <w:iCs w:val="0"/>
          <w:caps w:val="0"/>
          <w:color w:val="1D2125"/>
          <w:spacing w:val="0"/>
          <w:sz w:val="24"/>
          <w:szCs w:val="24"/>
          <w:shd w:val="clear" w:fill="FFFFFF"/>
        </w:rPr>
        <w:t>course title</w:t>
      </w:r>
      <w:r>
        <w:rPr>
          <w:rFonts w:hint="eastAsia" w:ascii="Segoe UI" w:hAnsi="Segoe UI" w:eastAsia="宋体" w:cs="Segoe UI"/>
          <w:i w:val="0"/>
          <w:iCs w:val="0"/>
          <w:caps w:val="0"/>
          <w:color w:val="1D2125"/>
          <w:spacing w:val="0"/>
          <w:sz w:val="24"/>
          <w:szCs w:val="24"/>
          <w:shd w:val="clear" w:fill="FFFFFF"/>
          <w:lang w:val="en-US" w:eastAsia="zh-CN"/>
        </w:rPr>
        <w:t xml:space="preserve">: </w:t>
      </w:r>
      <w:r>
        <w:rPr>
          <w:rFonts w:hint="eastAsia" w:ascii="Segoe UI" w:hAnsi="Segoe UI" w:eastAsia="Segoe UI" w:cs="Segoe UI"/>
          <w:i w:val="0"/>
          <w:iCs w:val="0"/>
          <w:caps w:val="0"/>
          <w:color w:val="1D2125"/>
          <w:spacing w:val="0"/>
          <w:sz w:val="24"/>
          <w:szCs w:val="24"/>
          <w:shd w:val="clear" w:fill="FFFFFF"/>
          <w:lang w:val="en-US" w:eastAsia="zh-CN"/>
        </w:rPr>
        <w:t>C</w:t>
      </w:r>
      <w:r>
        <w:rPr>
          <w:rFonts w:hint="eastAsia" w:ascii="Segoe UI" w:hAnsi="Segoe UI" w:eastAsia="Segoe UI" w:cs="Segoe UI"/>
          <w:i w:val="0"/>
          <w:iCs w:val="0"/>
          <w:color w:val="1D2125"/>
          <w:spacing w:val="0"/>
          <w:sz w:val="24"/>
          <w:szCs w:val="24"/>
          <w:shd w:val="clear" w:fill="FFFFFF"/>
          <w:lang w:val="en-US" w:eastAsia="zh-CN"/>
        </w:rPr>
        <w:t>ISC7204-data science and data visualization</w:t>
      </w:r>
    </w:p>
    <w:p w14:paraId="40CD816D">
      <w:pPr>
        <w:ind w:left="1920" w:hanging="1928" w:hangingChars="800"/>
        <w:jc w:val="both"/>
        <w:rPr>
          <w:rFonts w:ascii="Segoe UI" w:hAnsi="Segoe UI" w:eastAsia="Segoe UI" w:cs="Segoe UI"/>
          <w:i w:val="0"/>
          <w:iCs w:val="0"/>
          <w:caps w:val="0"/>
          <w:color w:val="1D2125"/>
          <w:spacing w:val="0"/>
          <w:sz w:val="24"/>
          <w:szCs w:val="24"/>
          <w:shd w:val="clear" w:fill="FFFFFF"/>
        </w:rPr>
      </w:pPr>
      <w:r>
        <w:rPr>
          <w:rFonts w:hint="eastAsia" w:ascii="Segoe UI" w:hAnsi="Segoe UI" w:eastAsia="宋体" w:cs="Segoe UI"/>
          <w:b/>
          <w:bCs/>
          <w:i w:val="0"/>
          <w:iCs w:val="0"/>
          <w:caps w:val="0"/>
          <w:color w:val="1D2125"/>
          <w:spacing w:val="0"/>
          <w:sz w:val="24"/>
          <w:szCs w:val="24"/>
          <w:shd w:val="clear" w:fill="FFFFFF"/>
          <w:lang w:val="en-US" w:eastAsia="zh-CN"/>
        </w:rPr>
        <w:t>C</w:t>
      </w:r>
      <w:r>
        <w:rPr>
          <w:rFonts w:ascii="Segoe UI" w:hAnsi="Segoe UI" w:eastAsia="Segoe UI" w:cs="Segoe UI"/>
          <w:b/>
          <w:bCs/>
          <w:i w:val="0"/>
          <w:iCs w:val="0"/>
          <w:caps w:val="0"/>
          <w:color w:val="1D2125"/>
          <w:spacing w:val="0"/>
          <w:sz w:val="24"/>
          <w:szCs w:val="24"/>
          <w:shd w:val="clear" w:fill="FFFFFF"/>
        </w:rPr>
        <w:t>oursework item</w:t>
      </w:r>
      <w:r>
        <w:rPr>
          <w:rFonts w:hint="eastAsia" w:ascii="Segoe UI" w:hAnsi="Segoe UI" w:eastAsia="宋体" w:cs="Segoe UI"/>
          <w:i w:val="0"/>
          <w:iCs w:val="0"/>
          <w:caps w:val="0"/>
          <w:color w:val="1D2125"/>
          <w:spacing w:val="0"/>
          <w:sz w:val="22"/>
          <w:szCs w:val="22"/>
          <w:shd w:val="clear" w:fill="FFFFFF"/>
          <w:lang w:val="en-US" w:eastAsia="zh-CN"/>
        </w:rPr>
        <w:t xml:space="preserve">: </w:t>
      </w:r>
      <w:r>
        <w:rPr>
          <w:rFonts w:ascii="Segoe UI" w:hAnsi="Segoe UI" w:eastAsia="Segoe UI" w:cs="Segoe UI"/>
          <w:i w:val="0"/>
          <w:iCs w:val="0"/>
          <w:caps w:val="0"/>
          <w:color w:val="1D2125"/>
          <w:spacing w:val="0"/>
          <w:sz w:val="24"/>
          <w:szCs w:val="24"/>
          <w:shd w:val="clear" w:fill="FFFFFF"/>
        </w:rPr>
        <w:t>T</w:t>
      </w:r>
      <w:r>
        <w:rPr>
          <w:rFonts w:ascii="Segoe UI" w:hAnsi="Segoe UI" w:eastAsia="Segoe UI" w:cs="Segoe UI"/>
          <w:i w:val="0"/>
          <w:iCs w:val="0"/>
          <w:caps w:val="0"/>
          <w:color w:val="1D2125"/>
          <w:spacing w:val="0"/>
          <w:sz w:val="24"/>
          <w:szCs w:val="24"/>
          <w:shd w:val="clear" w:fill="FFFFFF"/>
        </w:rPr>
        <w:t>he Wealth Divide by State: Median Household Income and Poverty Across the United States, 2022–2023</w:t>
      </w:r>
    </w:p>
    <w:p w14:paraId="17F55417">
      <w:pPr>
        <w:pStyle w:val="3"/>
      </w:pPr>
      <w:r>
        <w:t>1. Project Title and Research Question</w:t>
      </w:r>
    </w:p>
    <w:p w14:paraId="142E3BF6">
      <w:r>
        <w:rPr>
          <w:b/>
          <w:i w:val="0"/>
        </w:rPr>
        <w:t>Project title</w:t>
      </w:r>
    </w:p>
    <w:p w14:paraId="184A62ED">
      <w:r>
        <w:rPr>
          <w:b w:val="0"/>
          <w:i w:val="0"/>
        </w:rPr>
        <w:t>The Wealth Divide by State: Median Household Income and Pov</w:t>
      </w:r>
      <w:bookmarkStart w:id="0" w:name="_GoBack"/>
      <w:bookmarkEnd w:id="0"/>
      <w:r>
        <w:rPr>
          <w:b w:val="0"/>
          <w:i w:val="0"/>
        </w:rPr>
        <w:t>erty Across the United States, 2022–2023.</w:t>
      </w:r>
    </w:p>
    <w:p w14:paraId="6360FCAD">
      <w:r>
        <w:rPr>
          <w:b/>
          <w:i w:val="0"/>
        </w:rPr>
        <w:t>Research question</w:t>
      </w:r>
    </w:p>
    <w:p w14:paraId="14EE8CE0">
      <w:r>
        <w:rPr>
          <w:b w:val="0"/>
          <w:i w:val="0"/>
        </w:rPr>
        <w:t>How large are the gaps in median household income and poverty rates across U.S. states, and has the gap between the highest- and lowest-income states widened between 2022 and 2023?</w:t>
      </w:r>
    </w:p>
    <w:p w14:paraId="45AE75BD">
      <w:r>
        <w:rPr>
          <w:b/>
          <w:i w:val="0"/>
        </w:rPr>
        <w:t>Region and domain category</w:t>
      </w:r>
    </w:p>
    <w:p w14:paraId="6C6D95CB">
      <w:pPr>
        <w:pStyle w:val="16"/>
      </w:pPr>
      <w:r>
        <w:t>Region: United States — all 50 states plus the District of Columbia.</w:t>
      </w:r>
    </w:p>
    <w:p w14:paraId="7AF1024D">
      <w:pPr>
        <w:pStyle w:val="16"/>
      </w:pPr>
      <w:r>
        <w:t>Domain: Social and economic — household income, poverty, and regional inequality.</w:t>
      </w:r>
    </w:p>
    <w:p w14:paraId="47AA25ED">
      <w:pPr>
        <w:pStyle w:val="3"/>
      </w:pPr>
      <w:r>
        <w:t>2. Purpose</w:t>
      </w:r>
    </w:p>
    <w:p w14:paraId="0E049F25">
      <w:pPr>
        <w:pStyle w:val="4"/>
      </w:pPr>
      <w:r>
        <w:t>2.1 Outcomes</w:t>
      </w:r>
    </w:p>
    <w:p w14:paraId="3658F04F">
      <w:r>
        <w:rPr>
          <w:b w:val="0"/>
          <w:i w:val="0"/>
        </w:rPr>
        <w:t>The project maps onto a few of CISC7204's learning outcomes without forcing the fit. We run the whole pipeline once—raw government data in, finished figure out—rather than rehearsing on a cleaned textbook dataset. The chart-design ideas from class get tried on real data, where messy columns and odd outliers actually show up. A vague question (“is the gap between rich and poor states growing?”) has to survive a reader glancing at one figure. For our major, that is useful quantitative and communication practice. Down the line, it also leaves a small portfolio piece: one where we picked the question, found the data, and can defend the answer.</w:t>
      </w:r>
    </w:p>
    <w:p w14:paraId="3A080AC4">
      <w:pPr>
        <w:pStyle w:val="4"/>
      </w:pPr>
      <w:r>
        <w:t>2.2 Skills</w:t>
      </w:r>
    </w:p>
    <w:p w14:paraId="38805275">
      <w:r>
        <w:rPr>
          <w:b w:val="0"/>
          <w:i w:val="0"/>
        </w:rPr>
        <w:t>This project gives us a chance to drill the skills this course and most data-analysis work actually demand:</w:t>
      </w:r>
    </w:p>
    <w:p w14:paraId="788EA24A">
      <w:pPr>
        <w:pStyle w:val="16"/>
      </w:pPr>
      <w:r>
        <w:t>Choosing the right chart for the data — a sorted bar chart to rank states, a scatter plot for the income–poverty relationship, and a slope chart for year-to-year change.</w:t>
      </w:r>
    </w:p>
    <w:p w14:paraId="03E48896">
      <w:pPr>
        <w:pStyle w:val="16"/>
      </w:pPr>
      <w:r>
        <w:t>Cleaning and reshaping real-world data — filtering state-level rows, pivoting a long table, and merging two USDA tables by state.</w:t>
      </w:r>
    </w:p>
    <w:p w14:paraId="5806AC80">
      <w:pPr>
        <w:pStyle w:val="16"/>
      </w:pPr>
      <w:r>
        <w:t>Designing readable, non-misleading graphics — correct axis scales, clear labels and units, source notes, and deliberate rather than decorative color.</w:t>
      </w:r>
    </w:p>
    <w:p w14:paraId="0A19FD90">
      <w:pPr>
        <w:pStyle w:val="16"/>
      </w:pPr>
      <w:r>
        <w:t>Visual storytelling — making each figure explicitly serve the research question instead of looking “pretty.”</w:t>
      </w:r>
    </w:p>
    <w:p w14:paraId="7BB2545D">
      <w:pPr>
        <w:pStyle w:val="16"/>
      </w:pPr>
      <w:r>
        <w:t>Critically reading numbers — recognizing margins of error and the difference between point estimates and survey estimates.</w:t>
      </w:r>
    </w:p>
    <w:p w14:paraId="73F80157">
      <w:pPr>
        <w:pStyle w:val="4"/>
      </w:pPr>
      <w:r>
        <w:t>2.3 Knowledge</w:t>
      </w:r>
    </w:p>
    <w:p w14:paraId="4C9FA6FE">
      <w:r>
        <w:rPr>
          <w:b w:val="0"/>
          <w:i w:val="0"/>
        </w:rPr>
        <w:t>Along the way we bump into the core ideas that the visualization field actually cares about:</w:t>
      </w:r>
    </w:p>
    <w:p w14:paraId="3341777C">
      <w:pPr>
        <w:pStyle w:val="16"/>
      </w:pPr>
      <w:r>
        <w:t>Visual encoding — how position, length, and color encode quantitative values, and why a sorted bar chart reads better than a pie chart for 50 categories.</w:t>
      </w:r>
    </w:p>
    <w:p w14:paraId="6A24D402">
      <w:pPr>
        <w:pStyle w:val="16"/>
      </w:pPr>
      <w:r>
        <w:t>How charts mislead — truncated axes, dual axes, and over-scattered points, and how to avoid them.</w:t>
      </w:r>
    </w:p>
    <w:p w14:paraId="38379FFD">
      <w:pPr>
        <w:pStyle w:val="16"/>
      </w:pPr>
      <w:r>
        <w:t>Design principles — reducing chart junk, maximizing the data-to-ink ratio, and letting labels carry the message.</w:t>
      </w:r>
    </w:p>
    <w:p w14:paraId="68C5CD21">
      <w:pPr>
        <w:pStyle w:val="16"/>
      </w:pPr>
      <w:r>
        <w:t>The meaning behind the numbers — median household income vs. mean income, the federal poverty line, and the difference between a point estimate and a survey estimate with a margin of error.</w:t>
      </w:r>
    </w:p>
    <w:p w14:paraId="01EA685C">
      <w:pPr>
        <w:pStyle w:val="3"/>
      </w:pPr>
      <w:r>
        <w:t>3. Tasks</w:t>
      </w:r>
    </w:p>
    <w:p w14:paraId="1FAF51B0">
      <w:pPr>
        <w:pStyle w:val="4"/>
      </w:pPr>
      <w:r>
        <w:t>3.1 Specific steps</w:t>
      </w:r>
    </w:p>
    <w:p w14:paraId="2F607D6F">
      <w:pPr>
        <w:pStyle w:val="16"/>
      </w:pPr>
      <w:r>
        <w:t>Step 1 (Week 1): Finalize the research question and download the two USDA CSV files; read the USDA documentation to identify the columns for median household income and poverty rate.</w:t>
      </w:r>
    </w:p>
    <w:p w14:paraId="399ACB2D">
      <w:pPr>
        <w:pStyle w:val="16"/>
      </w:pPr>
      <w:r>
        <w:t>Step 2 (Week 1–2): Keep only state-level rows, extract 2022 and 2023 income and 2023 poverty rate, and join the two tables by state.</w:t>
      </w:r>
    </w:p>
    <w:p w14:paraId="6FBF0508">
      <w:pPr>
        <w:pStyle w:val="16"/>
      </w:pPr>
      <w:r>
        <w:t>Step 3 (Week 2): Identify the highest- and lowest-income states and eyeball the income–poverty relationship before plotting.</w:t>
      </w:r>
    </w:p>
    <w:p w14:paraId="7126AE2E">
      <w:pPr>
        <w:pStyle w:val="16"/>
      </w:pPr>
      <w:r>
        <w:t>Step 4 (Week 2–3): Produce three figures — a sorted bar chart of 2023 income, a scatter of income vs. poverty, and a slope chart of top-5 vs. bottom-5 states from 2022 to 2023 — each with title, labels, units, and a source note.</w:t>
      </w:r>
    </w:p>
    <w:p w14:paraId="25264F43">
      <w:pPr>
        <w:pStyle w:val="16"/>
      </w:pPr>
      <w:r>
        <w:t>Step 5 (Week 3): Write the 1–2 paragraph justification linking the figures to the research question.</w:t>
      </w:r>
    </w:p>
    <w:p w14:paraId="563969B6">
      <w:pPr>
        <w:pStyle w:val="16"/>
      </w:pPr>
      <w:r>
        <w:t>Step 6 (Week 3): Run through the checklist and submit the notebook, figures, and written justification.</w:t>
      </w:r>
    </w:p>
    <w:p w14:paraId="25DFF4EA">
      <w:pPr>
        <w:pStyle w:val="4"/>
      </w:pPr>
      <w:r>
        <w:t>3.2 Deliverables</w:t>
      </w:r>
    </w:p>
    <w:p w14:paraId="2822083F">
      <w:pPr>
        <w:pStyle w:val="16"/>
      </w:pPr>
      <w:r>
        <w:t>Three finalized figures (PNG) with titles, labels, and source citations.</w:t>
      </w:r>
    </w:p>
    <w:p w14:paraId="5054A13B">
      <w:pPr>
        <w:pStyle w:val="16"/>
      </w:pPr>
      <w:r>
        <w:t>A Jupyter Notebook (.ipynb) with Python 3 code that reproduces every figure from the raw CSVs.</w:t>
      </w:r>
    </w:p>
    <w:p w14:paraId="6C7A7C32">
      <w:pPr>
        <w:pStyle w:val="16"/>
      </w:pPr>
      <w:r>
        <w:t>A 1–2 paragraph written justification.</w:t>
      </w:r>
    </w:p>
    <w:p w14:paraId="0BC9F808">
      <w:pPr>
        <w:pStyle w:val="16"/>
      </w:pPr>
      <w:r>
        <w:t>This completed project proposal following the five-part guideline.</w:t>
      </w:r>
    </w:p>
    <w:p w14:paraId="240141B7">
      <w:pPr>
        <w:pStyle w:val="4"/>
      </w:pPr>
      <w:r>
        <w:t>3.3 Guides and worksheets used</w:t>
      </w:r>
    </w:p>
    <w:p w14:paraId="670AB0A9">
      <w:r>
        <w:rPr>
          <w:b w:val="0"/>
          <w:i w:val="0"/>
        </w:rPr>
        <w:t>A few supporting materials help us get through it:</w:t>
      </w:r>
    </w:p>
    <w:p w14:paraId="5651B58F">
      <w:pPr>
        <w:pStyle w:val="16"/>
      </w:pPr>
      <w:r>
        <w:t>Course worksheets and in-class examples (chart-type selection and plotting templates).</w:t>
      </w:r>
    </w:p>
    <w:p w14:paraId="4A800F81">
      <w:pPr>
        <w:pStyle w:val="16"/>
      </w:pPr>
      <w:r>
        <w:t>USDA ERS documentation — the data dictionary that defines each column and how the estimates are constructed.</w:t>
      </w:r>
    </w:p>
    <w:p w14:paraId="7F016C6F">
      <w:pPr>
        <w:pStyle w:val="16"/>
      </w:pPr>
      <w:r>
        <w:t>Library galleries (matplotlib / seaborn example galleries) as visual references.</w:t>
      </w:r>
    </w:p>
    <w:p w14:paraId="1E66573B">
      <w:pPr>
        <w:pStyle w:val="16"/>
      </w:pPr>
      <w:r>
        <w:t>A self-made checklist used to review each figure before submission.</w:t>
      </w:r>
    </w:p>
    <w:p w14:paraId="783B8E2F">
      <w:pPr>
        <w:pStyle w:val="4"/>
      </w:pPr>
      <w:r>
        <w:t>3.4 Requirements to be fulfilled (for the research to be credible)</w:t>
      </w:r>
    </w:p>
    <w:p w14:paraId="53117FCD">
      <w:r>
        <w:rPr>
          <w:b w:val="0"/>
          <w:i w:val="0"/>
        </w:rPr>
        <w:t>To answer the question without hand-waving, a few conditions have to hold:</w:t>
      </w:r>
    </w:p>
    <w:p w14:paraId="2D9BAA70">
      <w:pPr>
        <w:pStyle w:val="16"/>
      </w:pPr>
      <w:r>
        <w:t>Data availability and alignment — both files must provide state-level median household income for 2022 and 2023 and a comparable 2023 poverty rate; if a year is missing, we adjust the comparison years instead of guessing.</w:t>
      </w:r>
    </w:p>
    <w:p w14:paraId="6EFF054E">
      <w:pPr>
        <w:pStyle w:val="16"/>
      </w:pPr>
      <w:r>
        <w:t>Comparable geographies — the two tables are joined on a consistent state identifier covering the same set of states; DC is included with a note.</w:t>
      </w:r>
    </w:p>
    <w:p w14:paraId="717B0D2E">
      <w:pPr>
        <w:pStyle w:val="16"/>
      </w:pPr>
      <w:r>
        <w:t>Adequate sample — keep all 50 states plus DC so the scatter has enough points; cherry-picking a few states would overstate the relationship.</w:t>
      </w:r>
    </w:p>
    <w:p w14:paraId="59DC103D">
      <w:pPr>
        <w:pStyle w:val="16"/>
      </w:pPr>
      <w:r>
        <w:t>Honest treatment of estimates — income and poverty are survey estimates with margins of error, not exact counts.</w:t>
      </w:r>
    </w:p>
    <w:p w14:paraId="3295E72C">
      <w:pPr>
        <w:pStyle w:val="16"/>
      </w:pPr>
      <w:r>
        <w:t>Chart–data match — ranked bars for comparison, a scatter for the relationship, and a slope chart for change; no pie chart for 50 categories, no truncated axis.</w:t>
      </w:r>
    </w:p>
    <w:p w14:paraId="54333BD1">
      <w:pPr>
        <w:pStyle w:val="16"/>
      </w:pPr>
      <w:r>
        <w:t>Reproducibility — every figure can be regenerated end-to-end from the raw CSVs.</w:t>
      </w:r>
    </w:p>
    <w:p w14:paraId="66B04E2E">
      <w:pPr>
        <w:pStyle w:val="16"/>
      </w:pPr>
      <w:r>
        <w:t>Scope discipline — the project answers only “how large are the gaps and did they widen?” and does not claim causation from these cross-sections alone.</w:t>
      </w:r>
    </w:p>
    <w:p w14:paraId="7B241D1F">
      <w:pPr>
        <w:pStyle w:val="3"/>
      </w:pPr>
      <w:r>
        <w:t>4. Criteria for Success</w:t>
      </w:r>
    </w:p>
    <w:p w14:paraId="55E5CBBE">
      <w:pPr>
        <w:pStyle w:val="4"/>
      </w:pPr>
      <w:r>
        <w:t>4.1 Characteristics of a successful deliverable</w:t>
      </w:r>
    </w:p>
    <w:p w14:paraId="26C5A23B">
      <w:r>
        <w:rPr>
          <w:b w:val="0"/>
          <w:i w:val="0"/>
        </w:rPr>
        <w:t>What does “done” look like? A reader should be able to open the three figures and the paragraph and walk away knowing which states are rich or poor (and roughly by how much), whether higher-income states also tend to have lower poverty, and whether the rich and poor states moved closer together or drifted apart between 2022 and 2023. Beyond that, the figures need to be honest: no chopped axes, units and a source note present, and the estimates labeled as estimates rather than hard numbers. The notebook should regenerate everything from the raw CSVs, no manual tweaks in between.</w:t>
      </w:r>
    </w:p>
    <w:p w14:paraId="11C632CB">
      <w:pPr>
        <w:pStyle w:val="4"/>
      </w:pPr>
      <w:r>
        <w:t>4.2 How we demonstrate it</w:t>
      </w:r>
    </w:p>
    <w:p w14:paraId="6F89768B">
      <w:pPr>
        <w:pStyle w:val="16"/>
      </w:pPr>
      <w:r>
        <w:t>A checklist — each of the three reader questions becomes a yes/no item; a figure passes only when every item is yes.</w:t>
      </w:r>
    </w:p>
    <w:p w14:paraId="29287AAC">
      <w:pPr>
        <w:pStyle w:val="16"/>
      </w:pPr>
      <w:r>
        <w:t>Annotated figures in the notebook — each chart is followed by a note explaining which question it answers and why that chart type was chosen.</w:t>
      </w:r>
    </w:p>
    <w:p w14:paraId="3B5E1438">
      <w:pPr>
        <w:pStyle w:val="16"/>
      </w:pPr>
      <w:r>
        <w:t>The three final visuals themselves — the PNG figures are the final deliverable telling the story with the data collected, cleaned, and interpreted.</w:t>
      </w:r>
    </w:p>
    <w:p w14:paraId="5D9C42C3">
      <w:pPr>
        <w:pStyle w:val="16"/>
      </w:pPr>
      <w:r>
        <w:t>We do not produce a separate grading rubric; the checklist above serves as our own success rubric.</w:t>
      </w:r>
    </w:p>
    <w:p w14:paraId="4DEEE16B">
      <w:pPr>
        <w:pStyle w:val="3"/>
      </w:pPr>
      <w:r>
        <w:t>5. Collaboration</w:t>
      </w:r>
    </w:p>
    <w:p w14:paraId="4EEC166D">
      <w:pPr>
        <w:pStyle w:val="4"/>
      </w:pPr>
      <w:r>
        <w:t>5.1 Division of work</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536"/>
        <w:gridCol w:w="4536"/>
      </w:tblGrid>
      <w:tr w14:paraId="4A0D74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36" w:type="dxa"/>
          </w:tcPr>
          <w:p w14:paraId="0F5291CE">
            <w:pPr>
              <w:rPr>
                <w:rFonts w:hint="default" w:eastAsia="宋体"/>
                <w:lang w:val="en-US" w:eastAsia="zh-CN"/>
              </w:rPr>
            </w:pPr>
            <w:r>
              <w:rPr>
                <w:rFonts w:hint="eastAsia" w:eastAsia="宋体"/>
                <w:lang w:val="en-US" w:eastAsia="zh-CN"/>
              </w:rPr>
              <w:t>mc653871Zhang yifan</w:t>
            </w:r>
          </w:p>
        </w:tc>
        <w:tc>
          <w:tcPr>
            <w:tcW w:w="4536" w:type="dxa"/>
          </w:tcPr>
          <w:p w14:paraId="00212542">
            <w:pPr>
              <w:rPr>
                <w:rFonts w:hint="default" w:eastAsia="宋体"/>
                <w:lang w:val="en-US" w:eastAsia="zh-CN"/>
              </w:rPr>
            </w:pPr>
            <w:r>
              <w:rPr>
                <w:rFonts w:hint="eastAsia" w:eastAsia="宋体"/>
                <w:lang w:val="en-US" w:eastAsia="zh-CN"/>
              </w:rPr>
              <w:t>mc653425Li xinhang</w:t>
            </w:r>
          </w:p>
        </w:tc>
      </w:tr>
      <w:tr w14:paraId="1F7578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36" w:type="dxa"/>
          </w:tcPr>
          <w:p w14:paraId="014A23F6">
            <w:r>
              <w:t>Downloads and cleans the two USDA CSVs; merges them by state; produces Figure 1 (sorted bar) and Figure 2 (scatter).</w:t>
            </w:r>
          </w:p>
        </w:tc>
        <w:tc>
          <w:tcPr>
            <w:tcW w:w="4536" w:type="dxa"/>
          </w:tcPr>
          <w:p w14:paraId="5BB80073">
            <w:r>
              <w:t>Produces Figure 3 (2022 vs. 2023 slope chart); writes the 1–2 paragraph justification; integrates both members’ code into the final notebook.</w:t>
            </w:r>
          </w:p>
        </w:tc>
      </w:tr>
      <w:tr w14:paraId="1C77FF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36" w:type="dxa"/>
          </w:tcPr>
          <w:p w14:paraId="709C1EC1">
            <w:r>
              <w:t>Roles: project coordinator + progress tracker</w:t>
            </w:r>
          </w:p>
        </w:tc>
        <w:tc>
          <w:tcPr>
            <w:tcW w:w="4536" w:type="dxa"/>
          </w:tcPr>
          <w:p w14:paraId="01473B1A">
            <w:r>
              <w:t>Roles: project scribe + project liaison</w:t>
            </w:r>
          </w:p>
        </w:tc>
      </w:tr>
    </w:tbl>
    <w:p w14:paraId="21F57FB9">
      <w:pPr>
        <w:pStyle w:val="4"/>
      </w:pPr>
      <w:r>
        <w:t>5.2 Ground rules</w:t>
      </w:r>
    </w:p>
    <w:p w14:paraId="646C8895">
      <w:pPr>
        <w:pStyle w:val="16"/>
      </w:pPr>
      <w:r>
        <w:t>Sync progress every 2–3 days.</w:t>
      </w:r>
    </w:p>
    <w:p w14:paraId="618761F0">
      <w:pPr>
        <w:pStyle w:val="16"/>
      </w:pPr>
      <w:r>
        <w:t>Keep all code and figures in one shared Jupyter Notebook so both members review each other’s work.</w:t>
      </w:r>
    </w:p>
    <w:p w14:paraId="01385E35">
      <w:pPr>
        <w:pStyle w:val="16"/>
      </w:pPr>
      <w:r>
        <w:t>Do not overwrite each other’s cells without communicating first.</w:t>
      </w:r>
    </w:p>
    <w:p w14:paraId="6A6155E1">
      <w:pPr>
        <w:pStyle w:val="16"/>
      </w:pPr>
      <w:r>
        <w:t>Both members review the checklist together before submission.</w:t>
      </w:r>
    </w:p>
    <w:p w14:paraId="5E7E60CD">
      <w:pPr>
        <w:pStyle w:val="4"/>
      </w:pPr>
      <w:r>
        <w:t>5.3 Roles across the project</w:t>
      </w:r>
    </w:p>
    <w:p w14:paraId="1E9DF03A">
      <w:pPr>
        <w:pStyle w:val="16"/>
      </w:pPr>
      <w:r>
        <w:t xml:space="preserve">Project coordinator — </w:t>
      </w:r>
      <w:r>
        <w:rPr>
          <w:rFonts w:hint="eastAsia" w:eastAsia="宋体"/>
          <w:lang w:val="en-US" w:eastAsia="zh-CN"/>
        </w:rPr>
        <w:t>mc653871Zhang yifan</w:t>
      </w:r>
      <w:r>
        <w:t>: keeps the overall plan on track and reallocates tasks if one person falls behind.</w:t>
      </w:r>
    </w:p>
    <w:p w14:paraId="3CE874DC">
      <w:pPr>
        <w:pStyle w:val="16"/>
      </w:pPr>
      <w:r>
        <w:t xml:space="preserve">Project scribe — </w:t>
      </w:r>
      <w:r>
        <w:rPr>
          <w:rFonts w:hint="eastAsia" w:eastAsia="宋体"/>
          <w:lang w:val="en-US" w:eastAsia="zh-CN"/>
        </w:rPr>
        <w:t>mc653425Li xinhang</w:t>
      </w:r>
      <w:r>
        <w:t>: records meeting notes and drafts the written justification.</w:t>
      </w:r>
    </w:p>
    <w:p w14:paraId="687390D6">
      <w:pPr>
        <w:pStyle w:val="16"/>
      </w:pPr>
      <w:r>
        <w:t xml:space="preserve">Project progress tracker — </w:t>
      </w:r>
      <w:r>
        <w:rPr>
          <w:rFonts w:hint="eastAsia" w:eastAsia="宋体"/>
          <w:lang w:val="en-US" w:eastAsia="zh-CN"/>
        </w:rPr>
        <w:t>mc653871Zhang yifan</w:t>
      </w:r>
      <w:r>
        <w:t>: checks each step against the task list and flags overdue items.</w:t>
      </w:r>
    </w:p>
    <w:p w14:paraId="05184A5F">
      <w:pPr>
        <w:pStyle w:val="16"/>
      </w:pPr>
      <w:r>
        <w:t xml:space="preserve">Project liaison — </w:t>
      </w:r>
      <w:r>
        <w:rPr>
          <w:rFonts w:hint="eastAsia" w:eastAsia="宋体"/>
          <w:lang w:val="en-US" w:eastAsia="zh-CN"/>
        </w:rPr>
        <w:t>mc653425Li xinhang</w:t>
      </w:r>
      <w:r>
        <w:t>: communicates with the instructor/TA and submits the final deliverables.</w:t>
      </w:r>
    </w:p>
    <w:p w14:paraId="08ED9153">
      <w:pPr>
        <w:pStyle w:val="3"/>
      </w:pPr>
      <w:r>
        <w:t>6. Datasets</w:t>
      </w:r>
    </w:p>
    <w:p w14:paraId="68941255">
      <w:pPr>
        <w:pStyle w:val="16"/>
      </w:pPr>
      <w:r>
        <w:t>USDA Economic Research Service — Poverty Estimates for the United States, States, and Counties, 2023 (median household income and poverty rate): https://www.ers.usda.gov/media/5496/poverty-estimates-for-the-united-states-states-and-counties-2023.csv</w:t>
      </w:r>
    </w:p>
    <w:p w14:paraId="2E7EF348">
      <w:pPr>
        <w:pStyle w:val="16"/>
      </w:pPr>
      <w:r>
        <w:t>USDA Economic Research Service — Unemployment and Median Household Income, 2000–23 (2022 median household income): https://www.ers.usda.gov/media/5497/unemployment-and-median-household-income-for-the-united-states-states-and-counties-2000-23.csv</w:t>
      </w:r>
    </w:p>
    <w:p w14:paraId="29B4552A">
      <w:pPr>
        <w:pStyle w:val="3"/>
      </w:pPr>
      <w:r>
        <w:t>7. Visualization and Written Justification</w:t>
      </w:r>
    </w:p>
    <w:p w14:paraId="40AC40B6">
      <w:r>
        <w:rPr>
          <w:b w:val="0"/>
          <w:i w:val="0"/>
        </w:rPr>
        <w:t>We started with one question: how big are the gaps in median household income and poverty across U.S. states, and did those gaps grow between 2022 and 2023? Figure 1 takes the first half. Ranked by 2023 median income, D.C. and the Northeastern/coastal states sit near the top, around $97k–$105k. Mississippi, West Virginia, and Louisiana are at the other end, around $54k–$58k. That is nearly a twofold spread. Figure 2 pushes one step further and asks why—plotting each state’s income against its poverty rate. The points drift downward (r ≈ −0.69), so lower-income states generally do carry higher poverty, with the Southern states bunched in the high-poverty corner. D.C. breaks the pattern: highest income in the country, yet a 15.2% poverty rate. It is a reminder that a state average can hide a lot of inequality inside its borders.</w:t>
      </w:r>
    </w:p>
    <w:p w14:paraId="4A0B83EE">
      <w:r>
        <w:rPr>
          <w:b w:val="0"/>
          <w:i w:val="0"/>
        </w:rPr>
        <w:t>Figure 3 goes back to the “widened or narrowed” part. It joins the five richest states and five poorest states from 2022 to 2023. The rich states’ lines climb a bit faster than the poor ones’, which pushes the mean gap from roughly $39.9k to roughly $42.3k. Put plainly, a sizable regional divide is already there, and over this two-year window it edged a little wider. Each figure carries one piece of the question—nothing is bolted on for looks.</w:t>
      </w:r>
    </w:p>
    <w:p w14:paraId="4F1283FD">
      <w:pPr>
        <w:jc w:val="center"/>
      </w:pPr>
    </w:p>
    <w:p w14:paraId="22B59DFE">
      <w:pPr>
        <w:jc w:val="center"/>
      </w:pP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FB6151"/>
    <w:rsid w:val="0D78540A"/>
    <w:rsid w:val="5D1C0E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pPr>
    <w:rPr>
      <w:rFonts w:ascii="Arial" w:hAnsi="Arial" w:eastAsia="Arial"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1521</Words>
  <Characters>8241</Characters>
  <Lines>0</Lines>
  <Paragraphs>0</Paragraphs>
  <TotalTime>8</TotalTime>
  <ScaleCrop>false</ScaleCrop>
  <LinksUpToDate>false</LinksUpToDate>
  <CharactersWithSpaces>9676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tsbx</cp:lastModifiedBy>
  <dcterms:modified xsi:type="dcterms:W3CDTF">2026-09-14T03:05:39Z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eyJoZGlkIjoiZmUyOWZkOGJhZTM3NGM3NzI2OWQ2MmQxMjIzMWMxZjIifQ==</vt:lpwstr>
  </property>
  <property fmtid="{D5CDD505-2E9C-101B-9397-08002B2CF9AE}" pid="3" name="KSOProductBuildVer">
    <vt:lpwstr>2052-12.1.0.28505</vt:lpwstr>
  </property>
  <property fmtid="{D5CDD505-2E9C-101B-9397-08002B2CF9AE}" pid="4" name="ICV">
    <vt:lpwstr>FF11699C87AC461B834573A3B9C60586_12</vt:lpwstr>
  </property>
</Properties>
</file>