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EMERGING TECHNOLOGIES</w:t>
      </w:r>
    </w:p>
    <w:p>
      <w:pPr>
        <w:pStyle w:val="Title"/>
        <w:jc w:val="center"/>
      </w:pPr>
      <w:r>
        <w:t>Specialist Agent Record Template</w:t>
      </w:r>
    </w:p>
    <w:p>
      <w:pPr>
        <w:jc w:val="center"/>
      </w:pPr>
      <w:r>
        <w:t>MASY1-GC 1800 | Assignments 2-8</w:t>
      </w:r>
    </w:p>
    <w:tbl>
      <w:tblPr>
        <w:tblW w:type="auto" w:w="0"/>
        <w:tblLook w:firstColumn="1" w:firstRow="1" w:lastColumn="0" w:lastRow="0" w:noHBand="0" w:noVBand="1" w:val="04A0"/>
      </w:tblPr>
      <w:tblGrid>
        <w:gridCol w:w="10454"/>
      </w:tblGrid>
      <w:tr>
        <w:trPr>
          <w:cantSplit/>
        </w:trPr>
        <w:tc>
          <w:tcPr>
            <w:tcW w:type="dxa" w:w="10454"/>
            <w:shd w:fill="F3EDF7"/>
            <w:tcMar>
              <w:top w:w="90" w:type="dxa"/>
              <w:start w:w="120" w:type="dxa"/>
              <w:bottom w:w="90" w:type="dxa"/>
              <w:end w:w="120" w:type="dxa"/>
            </w:tcMar>
          </w:tcPr>
          <w:p>
            <w:pPr>
              <w:pStyle w:val="Callout"/>
            </w:pPr>
            <w:r>
              <w:t>Complete this record from the evidence in your working scaffold. Keep it concise. The record documents what you specialized, how you tested it, what failed or changed, and what professional judgment you reached.</w:t>
            </w:r>
          </w:p>
        </w:tc>
      </w:tr>
    </w:tbl>
    <w:p>
      <w:pPr>
        <w:pStyle w:val="Heading1"/>
        <w:keepNext/>
      </w:pPr>
      <w:r>
        <w:t>A. Agent and Version</w:t>
      </w:r>
    </w:p>
    <w:tbl>
      <w:tblPr>
        <w:tblStyle w:val="TableGrid"/>
        <w:tblW w:type="auto" w:w="0"/>
        <w:jc w:val="center"/>
        <w:tblLayout w:type="fixed"/>
        <w:tblLook w:firstColumn="1" w:firstRow="1" w:lastColumn="0" w:lastRow="0" w:noHBand="0" w:noVBand="1" w:val="04A0"/>
      </w:tblPr>
      <w:tblGrid>
        <w:gridCol w:w="3168"/>
        <w:gridCol w:w="7286"/>
      </w:tblGrid>
      <w:tr>
        <w:trPr>
          <w:cantSplit/>
          <w:tblHeader/>
        </w:trPr>
        <w:tc>
          <w:tcPr>
            <w:tcW w:type="dxa" w:w="3168"/>
            <w:tcMar>
              <w:top w:w="70" w:type="dxa"/>
              <w:start w:w="90" w:type="dxa"/>
              <w:bottom w:w="70" w:type="dxa"/>
              <w:end w:w="90" w:type="dxa"/>
            </w:tcMar>
            <w:vAlign w:val="top"/>
            <w:shd w:fill="57068C"/>
          </w:tcPr>
          <w:p>
            <w:pPr>
              <w:spacing w:after="40" w:line="240" w:lineRule="auto" w:before="0"/>
            </w:pPr>
            <w:r>
              <w:rPr>
                <w:b/>
                <w:color w:val="FFFFFF"/>
                <w:sz w:val="17"/>
              </w:rPr>
              <w:t>Field</w:t>
            </w:r>
          </w:p>
        </w:tc>
        <w:tc>
          <w:tcPr>
            <w:tcW w:type="dxa" w:w="7286"/>
            <w:tcMar>
              <w:top w:w="70" w:type="dxa"/>
              <w:start w:w="90" w:type="dxa"/>
              <w:bottom w:w="70" w:type="dxa"/>
              <w:end w:w="90" w:type="dxa"/>
            </w:tcMar>
            <w:vAlign w:val="top"/>
            <w:shd w:fill="57068C"/>
          </w:tcPr>
          <w:p>
            <w:pPr>
              <w:spacing w:after="40" w:line="240" w:lineRule="auto" w:before="0"/>
            </w:pPr>
            <w:r>
              <w:rPr>
                <w:b/>
                <w:color w:val="FFFFFF"/>
                <w:sz w:val="17"/>
              </w:rPr>
              <w:t>Student record</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Student / team</w:t>
            </w:r>
          </w:p>
        </w:tc>
        <w:tc>
          <w:tcPr>
            <w:tcW w:type="dxa" w:w="7286"/>
            <w:tcMar>
              <w:top w:w="70" w:type="dxa"/>
              <w:start w:w="90" w:type="dxa"/>
              <w:bottom w:w="70" w:type="dxa"/>
              <w:end w:w="90" w:type="dxa"/>
            </w:tcMar>
            <w:vAlign w:val="top"/>
          </w:tcPr>
          <w:p>
            <w:pPr>
              <w:spacing w:after="40" w:line="240" w:lineRule="auto" w:before="0"/>
            </w:pPr>
            <w:r>
              <w:rPr>
                <w:sz w:val="20"/>
              </w:rPr>
              <w:t>Zhixian Zhang (Freya Zhang)</w:t>
              <w:br/>
              <w:t>NYU MS in Management and Analytics</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Assignment / specialist agent</w:t>
            </w:r>
          </w:p>
        </w:tc>
        <w:tc>
          <w:tcPr>
            <w:tcW w:type="dxa" w:w="7286"/>
            <w:tcMar>
              <w:top w:w="70" w:type="dxa"/>
              <w:start w:w="90" w:type="dxa"/>
              <w:bottom w:w="70" w:type="dxa"/>
              <w:end w:w="90" w:type="dxa"/>
            </w:tcMar>
            <w:vAlign w:val="top"/>
          </w:tcPr>
          <w:p>
            <w:pPr>
              <w:spacing w:after="40" w:line="240" w:lineRule="auto" w:before="0"/>
            </w:pPr>
            <w:r>
              <w:rPr>
                <w:sz w:val="20"/>
              </w:rPr>
              <w:t>Assignment 4 — Promethean Technology Classification Agent</w:t>
              <w:br/>
              <w:t>Version 0.3-suppression-fix</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Date</w:t>
            </w:r>
          </w:p>
        </w:tc>
        <w:tc>
          <w:tcPr>
            <w:tcW w:type="dxa" w:w="7286"/>
            <w:tcMar>
              <w:top w:w="70" w:type="dxa"/>
              <w:start w:w="90" w:type="dxa"/>
              <w:bottom w:w="70" w:type="dxa"/>
              <w:end w:w="90" w:type="dxa"/>
            </w:tcMar>
            <w:vAlign w:val="top"/>
          </w:tcPr>
          <w:p>
            <w:pPr>
              <w:spacing w:after="40" w:line="240" w:lineRule="auto" w:before="0"/>
            </w:pPr>
            <w:r>
              <w:rPr>
                <w:sz w:val="20"/>
              </w:rPr>
              <w:t>25 October 2026 (record date; not an execution timestamp)</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GitHub repository</w:t>
            </w:r>
          </w:p>
        </w:tc>
        <w:tc>
          <w:tcPr>
            <w:tcW w:type="dxa" w:w="7286"/>
            <w:tcMar>
              <w:top w:w="70" w:type="dxa"/>
              <w:start w:w="90" w:type="dxa"/>
              <w:bottom w:w="70" w:type="dxa"/>
              <w:end w:w="90" w:type="dxa"/>
            </w:tcMar>
            <w:vAlign w:val="top"/>
          </w:tcPr>
          <w:p>
            <w:pPr>
              <w:spacing w:after="40" w:line="240" w:lineRule="auto" w:before="0"/>
            </w:pPr>
            <w:r>
              <w:rPr>
                <w:sz w:val="20"/>
              </w:rPr>
              <w:t>https://github.com/zz10965-alt/emerging-technologies-agents</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Branch</w:t>
            </w:r>
          </w:p>
        </w:tc>
        <w:tc>
          <w:tcPr>
            <w:tcW w:type="dxa" w:w="7286"/>
            <w:tcMar>
              <w:top w:w="70" w:type="dxa"/>
              <w:start w:w="90" w:type="dxa"/>
              <w:bottom w:w="70" w:type="dxa"/>
              <w:end w:w="90" w:type="dxa"/>
            </w:tcMar>
            <w:vAlign w:val="top"/>
          </w:tcPr>
          <w:p>
            <w:pPr>
              <w:spacing w:after="40" w:line="240" w:lineRule="auto" w:before="0"/>
            </w:pPr>
            <w:r>
              <w:rPr>
                <w:sz w:val="20"/>
              </w:rPr>
              <w:t>assignment4-promethean</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Commit</w:t>
            </w:r>
          </w:p>
        </w:tc>
        <w:tc>
          <w:tcPr>
            <w:tcW w:type="dxa" w:w="7286"/>
            <w:tcMar>
              <w:top w:w="70" w:type="dxa"/>
              <w:start w:w="90" w:type="dxa"/>
              <w:bottom w:w="70" w:type="dxa"/>
              <w:end w:w="90" w:type="dxa"/>
            </w:tcMar>
            <w:vAlign w:val="top"/>
          </w:tcPr>
          <w:p>
            <w:pPr>
              <w:spacing w:after="40" w:line="240" w:lineRule="auto" w:before="0"/>
            </w:pPr>
            <w:r>
              <w:rPr>
                <w:sz w:val="20"/>
              </w:rPr>
              <w:t>d8be121c5698bd722aa7fbe9440462cb4e633ab0</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Frozen scaffold version</w:t>
            </w:r>
          </w:p>
        </w:tc>
        <w:tc>
          <w:tcPr>
            <w:tcW w:type="dxa" w:w="7286"/>
            <w:tcMar>
              <w:top w:w="70" w:type="dxa"/>
              <w:start w:w="90" w:type="dxa"/>
              <w:bottom w:w="70" w:type="dxa"/>
              <w:end w:w="90" w:type="dxa"/>
            </w:tcMar>
            <w:vAlign w:val="top"/>
          </w:tcPr>
          <w:p>
            <w:pPr>
              <w:spacing w:after="40" w:line="240" w:lineRule="auto" w:before="0"/>
            </w:pPr>
            <w:r>
              <w:rPr>
                <w:sz w:val="20"/>
              </w:rPr>
              <w:t>MASY1800_ET_Agent_Scaffold_v1_0</w:t>
            </w:r>
          </w:p>
        </w:tc>
      </w:tr>
    </w:tbl>
    <w:p>
      <w:pPr>
        <w:pStyle w:val="Heading1"/>
        <w:keepNext/>
      </w:pPr>
      <w:r>
        <w:t>B. Specialist Purpose and Context</w:t>
      </w:r>
    </w:p>
    <w:tbl>
      <w:tblPr>
        <w:tblStyle w:val="TableGrid"/>
        <w:tblW w:type="auto" w:w="0"/>
        <w:jc w:val="center"/>
        <w:tblLayout w:type="fixed"/>
        <w:tblLook w:firstColumn="1" w:firstRow="1" w:lastColumn="0" w:lastRow="0" w:noHBand="0" w:noVBand="1" w:val="04A0"/>
      </w:tblPr>
      <w:tblGrid>
        <w:gridCol w:w="3168"/>
        <w:gridCol w:w="7286"/>
      </w:tblGrid>
      <w:tr>
        <w:trPr>
          <w:cantSplit/>
          <w:tblHeader/>
        </w:trPr>
        <w:tc>
          <w:tcPr>
            <w:tcW w:type="dxa" w:w="3168"/>
            <w:tcMar>
              <w:top w:w="70" w:type="dxa"/>
              <w:start w:w="90" w:type="dxa"/>
              <w:bottom w:w="70" w:type="dxa"/>
              <w:end w:w="90" w:type="dxa"/>
            </w:tcMar>
            <w:vAlign w:val="top"/>
            <w:shd w:fill="57068C"/>
          </w:tcPr>
          <w:p>
            <w:pPr>
              <w:spacing w:after="40" w:line="240" w:lineRule="auto" w:before="0"/>
            </w:pPr>
            <w:r>
              <w:rPr>
                <w:b/>
                <w:color w:val="FFFFFF"/>
                <w:sz w:val="17"/>
              </w:rPr>
              <w:t>Field</w:t>
            </w:r>
          </w:p>
        </w:tc>
        <w:tc>
          <w:tcPr>
            <w:tcW w:type="dxa" w:w="7286"/>
            <w:tcMar>
              <w:top w:w="70" w:type="dxa"/>
              <w:start w:w="90" w:type="dxa"/>
              <w:bottom w:w="70" w:type="dxa"/>
              <w:end w:w="90" w:type="dxa"/>
            </w:tcMar>
            <w:vAlign w:val="top"/>
            <w:shd w:fill="57068C"/>
          </w:tcPr>
          <w:p>
            <w:pPr>
              <w:spacing w:after="40" w:line="240" w:lineRule="auto" w:before="0"/>
            </w:pPr>
            <w:r>
              <w:rPr>
                <w:b/>
                <w:color w:val="FFFFFF"/>
                <w:sz w:val="17"/>
              </w:rPr>
              <w:t>Student record</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Governing analytical question</w:t>
            </w:r>
          </w:p>
        </w:tc>
        <w:tc>
          <w:tcPr>
            <w:tcW w:type="dxa" w:w="7286"/>
            <w:tcMar>
              <w:top w:w="70" w:type="dxa"/>
              <w:start w:w="90" w:type="dxa"/>
              <w:bottom w:w="70" w:type="dxa"/>
              <w:end w:w="90" w:type="dxa"/>
            </w:tcMar>
            <w:vAlign w:val="top"/>
          </w:tcPr>
          <w:p>
            <w:pPr>
              <w:spacing w:after="40" w:line="240" w:lineRule="auto" w:before="0"/>
            </w:pPr>
            <w:r>
              <w:rPr>
                <w:sz w:val="20"/>
              </w:rPr>
              <w:t>Is this technology incremental, breakthrough, or potentially civilization-changing, and how much should that broader potential influence this organization's present application decision?</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Emerging technology</w:t>
            </w:r>
          </w:p>
        </w:tc>
        <w:tc>
          <w:tcPr>
            <w:tcW w:type="dxa" w:w="7286"/>
            <w:tcMar>
              <w:top w:w="70" w:type="dxa"/>
              <w:start w:w="90" w:type="dxa"/>
              <w:bottom w:w="70" w:type="dxa"/>
              <w:end w:w="90" w:type="dxa"/>
            </w:tcMar>
            <w:vAlign w:val="top"/>
          </w:tcPr>
          <w:p>
            <w:pPr>
              <w:spacing w:after="40" w:line="240" w:lineRule="auto" w:before="0"/>
            </w:pPr>
            <w:r>
              <w:rPr>
                <w:sz w:val="20"/>
              </w:rPr>
              <w:t>Deployable general-purpose LLM-based systems supporting varied cognitive/knowledge work; not all AI, an isolated model or one product.</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Intended application</w:t>
            </w:r>
          </w:p>
        </w:tc>
        <w:tc>
          <w:tcPr>
            <w:tcW w:type="dxa" w:w="7286"/>
            <w:tcMar>
              <w:top w:w="70" w:type="dxa"/>
              <w:start w:w="90" w:type="dxa"/>
              <w:bottom w:w="70" w:type="dxa"/>
              <w:end w:w="90" w:type="dxa"/>
            </w:tcMar>
            <w:vAlign w:val="top"/>
          </w:tcPr>
          <w:p>
            <w:pPr>
              <w:spacing w:after="40" w:line="240" w:lineRule="auto" w:before="0"/>
            </w:pPr>
            <w:r>
              <w:rPr>
                <w:sz w:val="20"/>
              </w:rPr>
              <w:t>LLM-assisted software development: code generation, explanation, testing, debugging and documentation.</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Organization / industry</w:t>
            </w:r>
          </w:p>
        </w:tc>
        <w:tc>
          <w:tcPr>
            <w:tcW w:type="dxa" w:w="7286"/>
            <w:tcMar>
              <w:top w:w="70" w:type="dxa"/>
              <w:start w:w="90" w:type="dxa"/>
              <w:bottom w:w="70" w:type="dxa"/>
              <w:end w:w="90" w:type="dxa"/>
            </w:tcMar>
            <w:vAlign w:val="top"/>
          </w:tcPr>
          <w:p>
            <w:pPr>
              <w:spacing w:after="40" w:line="240" w:lineRule="auto" w:before="0"/>
            </w:pPr>
            <w:r>
              <w:rPr>
                <w:sz w:val="20"/>
              </w:rPr>
              <w:t>Hypothetical mid-sized technology company / software sector.</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Adoption posture</w:t>
            </w:r>
          </w:p>
        </w:tc>
        <w:tc>
          <w:tcPr>
            <w:tcW w:type="dxa" w:w="7286"/>
            <w:tcMar>
              <w:top w:w="70" w:type="dxa"/>
              <w:start w:w="90" w:type="dxa"/>
              <w:bottom w:w="70" w:type="dxa"/>
              <w:end w:w="90" w:type="dxa"/>
            </w:tcMar>
            <w:vAlign w:val="top"/>
          </w:tcPr>
          <w:p>
            <w:pPr>
              <w:spacing w:after="40" w:line="240" w:lineRule="auto" w:before="0"/>
            </w:pPr>
            <w:r>
              <w:rPr>
                <w:sz w:val="20"/>
              </w:rPr>
              <w:t>Moderate / fast-follower.</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Risk / consequence context</w:t>
            </w:r>
          </w:p>
        </w:tc>
        <w:tc>
          <w:tcPr>
            <w:tcW w:type="dxa" w:w="7286"/>
            <w:tcMar>
              <w:top w:w="70" w:type="dxa"/>
              <w:start w:w="90" w:type="dxa"/>
              <w:bottom w:w="70" w:type="dxa"/>
              <w:end w:w="90" w:type="dxa"/>
            </w:tcMar>
            <w:vAlign w:val="top"/>
          </w:tcPr>
          <w:p>
            <w:pPr>
              <w:spacing w:after="40" w:line="240" w:lineRule="auto" w:before="0"/>
            </w:pPr>
            <w:r>
              <w:rPr>
                <w:sz w:val="20"/>
              </w:rPr>
              <w:t>Code quality/security, confidentiality, review burden, integration costs and reliability; human merge/release authority retained.</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Management question / time horizon</w:t>
            </w:r>
          </w:p>
        </w:tc>
        <w:tc>
          <w:tcPr>
            <w:tcW w:type="dxa" w:w="7286"/>
            <w:tcMar>
              <w:top w:w="70" w:type="dxa"/>
              <w:start w:w="90" w:type="dxa"/>
              <w:bottom w:w="70" w:type="dxa"/>
              <w:end w:w="90" w:type="dxa"/>
            </w:tcMar>
            <w:vAlign w:val="top"/>
          </w:tcPr>
          <w:p>
            <w:pPr>
              <w:spacing w:after="40" w:line="240" w:lineRule="auto" w:before="0"/>
            </w:pPr>
            <w:r>
              <w:rPr>
                <w:sz w:val="20"/>
              </w:rPr>
              <w:t>Whether and how to introduce a controlled workflow over a hypothetical six-month horizon. No actual deployment or local metrics supplied.</w:t>
            </w:r>
          </w:p>
        </w:tc>
      </w:tr>
    </w:tbl>
    <w:p>
      <w:pPr>
        <w:pStyle w:val="Heading1"/>
        <w:keepNext/>
        <w:pageBreakBefore/>
      </w:pPr>
      <w:r>
        <w:t>C. Three-Level Finding</w:t>
      </w:r>
    </w:p>
    <w:tbl>
      <w:tblPr>
        <w:tblStyle w:val="TableGrid"/>
        <w:tblW w:type="auto" w:w="0"/>
        <w:jc w:val="center"/>
        <w:tblLayout w:type="fixed"/>
        <w:tblLook w:firstColumn="1" w:firstRow="1" w:lastColumn="0" w:lastRow="0" w:noHBand="0" w:noVBand="1" w:val="04A0"/>
      </w:tblPr>
      <w:tblGrid>
        <w:gridCol w:w="3168"/>
        <w:gridCol w:w="7286"/>
      </w:tblGrid>
      <w:tr>
        <w:trPr>
          <w:cantSplit/>
          <w:tblHeader/>
        </w:trPr>
        <w:tc>
          <w:tcPr>
            <w:tcW w:type="dxa" w:w="3168"/>
            <w:tcMar>
              <w:top w:w="70" w:type="dxa"/>
              <w:start w:w="90" w:type="dxa"/>
              <w:bottom w:w="70" w:type="dxa"/>
              <w:end w:w="90" w:type="dxa"/>
            </w:tcMar>
            <w:vAlign w:val="top"/>
            <w:shd w:fill="57068C"/>
          </w:tcPr>
          <w:p>
            <w:pPr>
              <w:spacing w:after="40" w:line="240" w:lineRule="auto" w:before="0"/>
            </w:pPr>
            <w:r>
              <w:rPr>
                <w:b/>
                <w:color w:val="FFFFFF"/>
                <w:sz w:val="17"/>
              </w:rPr>
              <w:t>Field</w:t>
            </w:r>
          </w:p>
        </w:tc>
        <w:tc>
          <w:tcPr>
            <w:tcW w:type="dxa" w:w="7286"/>
            <w:tcMar>
              <w:top w:w="70" w:type="dxa"/>
              <w:start w:w="90" w:type="dxa"/>
              <w:bottom w:w="70" w:type="dxa"/>
              <w:end w:w="90" w:type="dxa"/>
            </w:tcMar>
            <w:vAlign w:val="top"/>
            <w:shd w:fill="57068C"/>
          </w:tcPr>
          <w:p>
            <w:pPr>
              <w:spacing w:after="40" w:line="240" w:lineRule="auto" w:before="0"/>
            </w:pPr>
            <w:r>
              <w:rPr>
                <w:b/>
                <w:color w:val="FFFFFF"/>
                <w:sz w:val="17"/>
              </w:rPr>
              <w:t>Student record</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ET generally</w:t>
            </w:r>
          </w:p>
        </w:tc>
        <w:tc>
          <w:tcPr>
            <w:tcW w:type="dxa" w:w="7286"/>
            <w:tcMar>
              <w:top w:w="70" w:type="dxa"/>
              <w:start w:w="90" w:type="dxa"/>
              <w:bottom w:w="70" w:type="dxa"/>
              <w:end w:w="90" w:type="dxa"/>
            </w:tcMar>
            <w:vAlign w:val="top"/>
          </w:tcPr>
          <w:p>
            <w:pPr>
              <w:spacing w:after="40" w:line="240" w:lineRule="auto" w:before="0"/>
            </w:pPr>
            <w:r>
              <w:rPr>
                <w:sz w:val="20"/>
              </w:rPr>
              <w:t>Qualified Breakthrough. Evidence supports selective constraint reduction, not demonstrated categorical dissolution across two tiers. Chapter 11’s provisional Potential Promethean calibration remains a possibility, not disproved.</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ET for this application</w:t>
            </w:r>
          </w:p>
        </w:tc>
        <w:tc>
          <w:tcPr>
            <w:tcW w:type="dxa" w:w="7286"/>
            <w:tcMar>
              <w:top w:w="70" w:type="dxa"/>
              <w:start w:w="90" w:type="dxa"/>
              <w:bottom w:w="70" w:type="dxa"/>
              <w:end w:w="90" w:type="dxa"/>
            </w:tcMar>
            <w:vAlign w:val="top"/>
          </w:tcPr>
          <w:p>
            <w:pPr>
              <w:spacing w:after="40" w:line="240" w:lineRule="auto" w:before="0"/>
            </w:pPr>
            <w:r>
              <w:rPr>
                <w:sz w:val="20"/>
              </w:rPr>
              <w:t>Task-dependent assistance is plausible; narrow historical gains, contrary productivity evidence and security findings do not establish a current end-to-end net benefit.</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ET for this application in this organization</w:t>
            </w:r>
          </w:p>
        </w:tc>
        <w:tc>
          <w:tcPr>
            <w:tcW w:type="dxa" w:w="7286"/>
            <w:tcMar>
              <w:top w:w="70" w:type="dxa"/>
              <w:start w:w="90" w:type="dxa"/>
              <w:bottom w:w="70" w:type="dxa"/>
              <w:end w:w="90" w:type="dxa"/>
            </w:tcMar>
            <w:vAlign w:val="top"/>
          </w:tcPr>
          <w:p>
            <w:pPr>
              <w:spacing w:after="40" w:line="240" w:lineRule="auto" w:before="0"/>
            </w:pPr>
            <w:r>
              <w:rPr>
                <w:sz w:val="20"/>
              </w:rPr>
              <w:t>An established review workflow permits a bounded comparison, subject to security/data approvals. No measured ROI or readiness is claimed.</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Bounded management implication</w:t>
            </w:r>
          </w:p>
        </w:tc>
        <w:tc>
          <w:tcPr>
            <w:tcW w:type="dxa" w:w="7286"/>
            <w:tcMar>
              <w:top w:w="70" w:type="dxa"/>
              <w:start w:w="90" w:type="dxa"/>
              <w:bottom w:w="70" w:type="dxa"/>
              <w:end w:w="90" w:type="dxa"/>
            </w:tcMar>
            <w:vAlign w:val="top"/>
          </w:tcPr>
          <w:p>
            <w:pPr>
              <w:spacing w:after="40" w:line="240" w:lineRule="auto" w:before="0"/>
            </w:pPr>
            <w:r>
              <w:rPr>
                <w:sz w:val="20"/>
              </w:rPr>
              <w:t>Limited, reversible evaluation with comparable baselines, quality/security gates, total cost and reviewer time; no adoption mandate from broad significance.</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Confidence / uncertainty</w:t>
            </w:r>
          </w:p>
        </w:tc>
        <w:tc>
          <w:tcPr>
            <w:tcW w:type="dxa" w:w="7286"/>
            <w:tcMar>
              <w:top w:w="70" w:type="dxa"/>
              <w:start w:w="90" w:type="dxa"/>
              <w:bottom w:w="70" w:type="dxa"/>
              <w:end w:w="90" w:type="dxa"/>
            </w:tcMar>
            <w:vAlign w:val="top"/>
          </w:tcPr>
          <w:p>
            <w:pPr>
              <w:spacing w:after="40" w:line="240" w:lineRule="auto" w:before="0"/>
            </w:pPr>
            <w:r>
              <w:rPr>
                <w:sz w:val="20"/>
              </w:rPr>
              <w:t>Moderate confidence in bounded assistance/limitations; low confidence in general current effect size, categorical dissolution and future irreversibility. Sources are heterogeneous and selected.</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What evidence or condition would change the conclusion</w:t>
            </w:r>
          </w:p>
        </w:tc>
        <w:tc>
          <w:tcPr>
            <w:tcW w:type="dxa" w:w="7286"/>
            <w:tcMar>
              <w:top w:w="70" w:type="dxa"/>
              <w:start w:w="90" w:type="dxa"/>
              <w:bottom w:w="70" w:type="dxa"/>
              <w:end w:w="90" w:type="dxa"/>
            </w:tcMar>
            <w:vAlign w:val="top"/>
          </w:tcPr>
          <w:p>
            <w:pPr>
              <w:spacing w:after="40" w:line="240" w:lineRule="auto" w:before="0"/>
            </w:pPr>
            <w:r>
              <w:rPr>
                <w:sz w:val="20"/>
              </w:rPr>
              <w:t>Credible evidence of a named categorical constraint dissolved across distinct tiers; dependent activities without feasible prior substitutes; task-specific quality-adjusted gains and local net benefit.</w:t>
            </w:r>
          </w:p>
        </w:tc>
      </w:tr>
    </w:tbl>
    <w:p>
      <w:pPr>
        <w:pStyle w:val="Heading1"/>
        <w:keepNext/>
      </w:pPr>
      <w:r>
        <w:t>D. Evidence and Testing</w:t>
      </w:r>
    </w:p>
    <w:tbl>
      <w:tblPr>
        <w:tblStyle w:val="TableGrid"/>
        <w:tblW w:type="auto" w:w="0"/>
        <w:jc w:val="center"/>
        <w:tblLayout w:type="fixed"/>
        <w:tblLook w:firstColumn="1" w:firstRow="1" w:lastColumn="0" w:lastRow="0" w:noHBand="0" w:noVBand="1" w:val="04A0"/>
      </w:tblPr>
      <w:tblGrid>
        <w:gridCol w:w="3168"/>
        <w:gridCol w:w="7286"/>
      </w:tblGrid>
      <w:tr>
        <w:trPr>
          <w:cantSplit/>
          <w:tblHeader/>
        </w:trPr>
        <w:tc>
          <w:tcPr>
            <w:tcW w:type="dxa" w:w="3168"/>
            <w:tcMar>
              <w:top w:w="70" w:type="dxa"/>
              <w:start w:w="90" w:type="dxa"/>
              <w:bottom w:w="70" w:type="dxa"/>
              <w:end w:w="90" w:type="dxa"/>
            </w:tcMar>
            <w:vAlign w:val="top"/>
            <w:shd w:fill="57068C"/>
          </w:tcPr>
          <w:p>
            <w:pPr>
              <w:spacing w:after="40" w:line="240" w:lineRule="auto" w:before="0"/>
            </w:pPr>
            <w:r>
              <w:rPr>
                <w:b/>
                <w:color w:val="FFFFFF"/>
                <w:sz w:val="17"/>
              </w:rPr>
              <w:t>Field</w:t>
            </w:r>
          </w:p>
        </w:tc>
        <w:tc>
          <w:tcPr>
            <w:tcW w:type="dxa" w:w="7286"/>
            <w:tcMar>
              <w:top w:w="70" w:type="dxa"/>
              <w:start w:w="90" w:type="dxa"/>
              <w:bottom w:w="70" w:type="dxa"/>
              <w:end w:w="90" w:type="dxa"/>
            </w:tcMar>
            <w:vAlign w:val="top"/>
            <w:shd w:fill="57068C"/>
          </w:tcPr>
          <w:p>
            <w:pPr>
              <w:spacing w:after="40" w:line="240" w:lineRule="auto" w:before="0"/>
            </w:pPr>
            <w:r>
              <w:rPr>
                <w:b/>
                <w:color w:val="FFFFFF"/>
                <w:sz w:val="17"/>
              </w:rPr>
              <w:t>Student record</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Most important evidence/source(s)</w:t>
            </w:r>
          </w:p>
        </w:tc>
        <w:tc>
          <w:tcPr>
            <w:tcW w:type="dxa" w:w="7286"/>
            <w:tcMar>
              <w:top w:w="70" w:type="dxa"/>
              <w:start w:w="90" w:type="dxa"/>
              <w:bottom w:w="70" w:type="dxa"/>
              <w:end w:w="90" w:type="dxa"/>
            </w:tcMar>
            <w:vAlign w:val="top"/>
          </w:tcPr>
          <w:p>
            <w:pPr>
              <w:spacing w:after="40" w:line="240" w:lineRule="auto" w:before="0"/>
            </w:pPr>
            <w:r>
              <w:rPr>
                <w:sz w:val="20"/>
              </w:rPr>
              <w:t>C11: Fortino, Chapter 11 (August 2026 draft), §§11.2/11.7. S1 Peng et al. (2023), arXiv:2302.06590v1; S2 Brynjolfsson et al., NBER 31161 (Nov. 2023 version). Opposition: S3 METR (2025), qualified by S4/S5 (2026); S7 Perry et al., DOI 10.1145/3576915.3623157. S6 clinical simulation is not real-world safety evidence. Full references: agents/promethean_agent/evidence/source_register.md in ZIP.</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Primary test - result</w:t>
            </w:r>
          </w:p>
        </w:tc>
        <w:tc>
          <w:tcPr>
            <w:tcW w:type="dxa" w:w="7286"/>
            <w:tcMar>
              <w:top w:w="70" w:type="dxa"/>
              <w:start w:w="90" w:type="dxa"/>
              <w:bottom w:w="70" w:type="dxa"/>
              <w:end w:w="90" w:type="dxa"/>
            </w:tcMar>
            <w:vAlign w:val="top"/>
          </w:tcPr>
          <w:p>
            <w:pPr>
              <w:spacing w:after="40" w:line="240" w:lineRule="auto" w:before="0"/>
            </w:pPr>
            <w:r>
              <w:rPr>
                <w:sz w:val="20"/>
              </w:rPr>
              <w:t>Four v0.2 originals plus one actual Primary v0.3 retest: all five pass original validator and complete frozen schema. The single v0.3 response corrects the targeted suppression-direction inconsistency.</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Contrast test - what appropriately stayed stable</w:t>
            </w:r>
          </w:p>
        </w:tc>
        <w:tc>
          <w:tcPr>
            <w:tcW w:type="dxa" w:w="7286"/>
            <w:tcMar>
              <w:top w:w="70" w:type="dxa"/>
              <w:start w:w="90" w:type="dxa"/>
              <w:bottom w:w="70" w:type="dxa"/>
              <w:end w:w="90" w:type="dxa"/>
            </w:tcMar>
            <w:vAlign w:val="top"/>
          </w:tcPr>
          <w:p>
            <w:pPr>
              <w:spacing w:after="40" w:line="240" w:lineRule="auto" w:before="0"/>
            </w:pPr>
            <w:r>
              <w:rPr>
                <w:sz w:val="20"/>
              </w:rPr>
              <w:t>v0.2 Primary/hospital/startup/hype preserve general LLM-system scope and qualified Breakthrough; neither aggressive posture nor hype upgrades the class.</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Contrast test - what appropriately changed</w:t>
            </w:r>
          </w:p>
        </w:tc>
        <w:tc>
          <w:tcPr>
            <w:tcW w:type="dxa" w:w="7286"/>
            <w:tcMar>
              <w:top w:w="70" w:type="dxa"/>
              <w:start w:w="90" w:type="dxa"/>
              <w:bottom w:w="70" w:type="dxa"/>
              <w:end w:w="90" w:type="dxa"/>
            </w:tcMar>
            <w:vAlign w:val="top"/>
          </w:tcPr>
          <w:p>
            <w:pPr>
              <w:spacing w:after="40" w:line="240" w:lineRule="auto" w:before="0"/>
            </w:pPr>
            <w:r>
              <w:rPr>
                <w:sz w:val="20"/>
              </w:rPr>
              <w:t>Hospital separates documentation from decision support and requires staged clinical validation. Startup emphasizes scarce reviewers, runway and fallback dependence. These v0.2 contrasts were not rerun on v0.3.</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Weakness/failure found</w:t>
            </w:r>
          </w:p>
        </w:tc>
        <w:tc>
          <w:tcPr>
            <w:tcW w:type="dxa" w:w="7286"/>
            <w:tcMar>
              <w:top w:w="70" w:type="dxa"/>
              <w:start w:w="90" w:type="dxa"/>
              <w:bottom w:w="70" w:type="dxa"/>
              <w:end w:w="90" w:type="dxa"/>
            </w:tcMar>
            <w:vAlign w:val="top"/>
          </w:tcPr>
          <w:p>
            <w:pPr>
              <w:spacing w:after="40" w:line="240" w:lineRule="auto" w:before="0"/>
            </w:pPr>
            <w:r>
              <w:rPr>
                <w:sz w:val="20"/>
              </w:rPr>
              <w:t>Primary v0.2 change_monitoring_triggers[2] says return to the old constrained state could strengthen the suppression gate, contradicting Chapter 11 and its main analysis.</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Revision made and why</w:t>
            </w:r>
          </w:p>
        </w:tc>
        <w:tc>
          <w:tcPr>
            <w:tcW w:type="dxa" w:w="7286"/>
            <w:tcMar>
              <w:top w:w="70" w:type="dxa"/>
              <w:start w:w="90" w:type="dxa"/>
              <w:bottom w:w="70" w:type="dxa"/>
              <w:end w:w="90" w:type="dxa"/>
            </w:tcMar>
            <w:vAlign w:val="top"/>
          </w:tcPr>
          <w:p>
            <w:pPr>
              <w:spacing w:after="40" w:line="240" w:lineRule="auto" w:before="0"/>
            </w:pPr>
            <w:r>
              <w:rPr>
                <w:sz w:val="20"/>
              </w:rPr>
              <w:t>Expanded only Layer 2 step 3: feasible restoration supports reduction; causally supported dependent collapse supports dissolution subject to other gates; missing feasibility remains unresolved. Added cross-field direction check. Exact before/diff and same-input/evidence retest retained.</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Remaining limitation / abstention condition</w:t>
            </w:r>
          </w:p>
        </w:tc>
        <w:tc>
          <w:tcPr>
            <w:tcW w:type="dxa" w:w="7286"/>
            <w:tcMar>
              <w:top w:w="70" w:type="dxa"/>
              <w:start w:w="90" w:type="dxa"/>
              <w:bottom w:w="70" w:type="dxa"/>
              <w:end w:w="90" w:type="dxa"/>
            </w:tcMar>
            <w:vAlign w:val="top"/>
          </w:tcPr>
          <w:p>
            <w:pPr>
              <w:spacing w:after="40" w:line="240" w:lineRule="auto" w:before="0"/>
            </w:pPr>
            <w:r>
              <w:rPr>
                <w:sz w:val="20"/>
              </w:rPr>
              <w:t>v0.3 asks whether the activity was “impossible in principle,” potentially stricter than Chapter 11. Retained without further revision. One retest does not establish reliability; lower-label clarity, pilot-scope variation and long-run/cost/access gaps remain. Qualify or abstain when gates lack evidence.</w:t>
            </w:r>
          </w:p>
        </w:tc>
      </w:tr>
    </w:tbl>
    <w:p>
      <w:pPr>
        <w:pStyle w:val="Heading1"/>
        <w:keepNext/>
        <w:pageBreakBefore/>
      </w:pPr>
      <w:r>
        <w:t>E. Independent Judgment and Handoff</w:t>
      </w:r>
    </w:p>
    <w:tbl>
      <w:tblPr>
        <w:tblStyle w:val="TableGrid"/>
        <w:tblW w:type="auto" w:w="0"/>
        <w:jc w:val="center"/>
        <w:tblLayout w:type="fixed"/>
        <w:tblLook w:firstColumn="1" w:firstRow="1" w:lastColumn="0" w:lastRow="0" w:noHBand="0" w:noVBand="1" w:val="04A0"/>
      </w:tblPr>
      <w:tblGrid>
        <w:gridCol w:w="3168"/>
        <w:gridCol w:w="7286"/>
      </w:tblGrid>
      <w:tr>
        <w:trPr>
          <w:cantSplit/>
          <w:tblHeader/>
        </w:trPr>
        <w:tc>
          <w:tcPr>
            <w:tcW w:type="dxa" w:w="3168"/>
            <w:tcMar>
              <w:top w:w="70" w:type="dxa"/>
              <w:start w:w="90" w:type="dxa"/>
              <w:bottom w:w="70" w:type="dxa"/>
              <w:end w:w="90" w:type="dxa"/>
            </w:tcMar>
            <w:vAlign w:val="top"/>
            <w:shd w:fill="57068C"/>
          </w:tcPr>
          <w:p>
            <w:pPr>
              <w:spacing w:after="40" w:line="240" w:lineRule="auto" w:before="0"/>
            </w:pPr>
            <w:r>
              <w:rPr>
                <w:b/>
                <w:color w:val="FFFFFF"/>
                <w:sz w:val="17"/>
              </w:rPr>
              <w:t>Field</w:t>
            </w:r>
          </w:p>
        </w:tc>
        <w:tc>
          <w:tcPr>
            <w:tcW w:type="dxa" w:w="7286"/>
            <w:tcMar>
              <w:top w:w="70" w:type="dxa"/>
              <w:start w:w="90" w:type="dxa"/>
              <w:bottom w:w="70" w:type="dxa"/>
              <w:end w:w="90" w:type="dxa"/>
            </w:tcMar>
            <w:vAlign w:val="top"/>
            <w:shd w:fill="57068C"/>
          </w:tcPr>
          <w:p>
            <w:pPr>
              <w:spacing w:after="40" w:line="240" w:lineRule="auto" w:before="0"/>
            </w:pPr>
            <w:r>
              <w:rPr>
                <w:b/>
                <w:color w:val="FFFFFF"/>
                <w:sz w:val="17"/>
              </w:rPr>
              <w:t>Student record</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Is the agent credible enough for team consideration? Why?</w:t>
            </w:r>
          </w:p>
        </w:tc>
        <w:tc>
          <w:tcPr>
            <w:tcW w:type="dxa" w:w="7286"/>
            <w:tcMar>
              <w:top w:w="70" w:type="dxa"/>
              <w:start w:w="90" w:type="dxa"/>
              <w:bottom w:w="70" w:type="dxa"/>
              <w:end w:w="90" w:type="dxa"/>
            </w:tcMar>
            <w:vAlign w:val="top"/>
          </w:tcPr>
          <w:p>
            <w:pPr>
              <w:spacing w:after="40" w:line="240" w:lineRule="auto" w:before="0"/>
            </w:pPr>
            <w:r>
              <w:rPr>
                <w:sz w:val="20"/>
              </w:rPr>
              <w:t>Credible enough for bounded team consideration with explicit limits: common contracts preserved, real contexts/hype tested, real weakness retained and one correction observed. It is not validated for autonomous adoption decisions or general reliability.</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Most important recommendation to the team</w:t>
            </w:r>
          </w:p>
        </w:tc>
        <w:tc>
          <w:tcPr>
            <w:tcW w:type="dxa" w:w="7286"/>
            <w:tcMar>
              <w:top w:w="70" w:type="dxa"/>
              <w:start w:w="90" w:type="dxa"/>
              <w:bottom w:w="70" w:type="dxa"/>
              <w:end w:w="90" w:type="dxa"/>
            </w:tcMar>
            <w:vAlign w:val="top"/>
          </w:tcPr>
          <w:p>
            <w:pPr>
              <w:spacing w:after="40" w:line="240" w:lineRule="auto" w:before="0"/>
            </w:pPr>
            <w:r>
              <w:rPr>
                <w:sz w:val="20"/>
              </w:rPr>
              <w:t>Preserve the three-level distinction and the direction of suppression reasoning. Broad technological importance never automatically justifies local adoption; feasible reversion is not dissolution evidence.</w:t>
            </w:r>
          </w:p>
        </w:tc>
      </w:tr>
      <w:tr>
        <w:trPr>
          <w:cantSplit/>
        </w:trPr>
        <w:tc>
          <w:tcPr>
            <w:tcW w:type="dxa" w:w="3168"/>
            <w:tcMar>
              <w:top w:w="70" w:type="dxa"/>
              <w:start w:w="90" w:type="dxa"/>
              <w:bottom w:w="70" w:type="dxa"/>
              <w:end w:w="90" w:type="dxa"/>
            </w:tcMar>
            <w:vAlign w:val="top"/>
          </w:tcPr>
          <w:p>
            <w:pPr>
              <w:spacing w:after="40" w:line="240" w:lineRule="auto" w:before="0"/>
            </w:pPr>
            <w:r>
              <w:rPr>
                <w:sz w:val="17"/>
              </w:rPr>
              <w:t>AI / verification note</w:t>
            </w:r>
          </w:p>
        </w:tc>
        <w:tc>
          <w:tcPr>
            <w:tcW w:type="dxa" w:w="7286"/>
            <w:tcMar>
              <w:top w:w="70" w:type="dxa"/>
              <w:start w:w="90" w:type="dxa"/>
              <w:bottom w:w="70" w:type="dxa"/>
              <w:end w:w="90" w:type="dxa"/>
            </w:tcMar>
            <w:vAlign w:val="top"/>
          </w:tcPr>
          <w:p>
            <w:pPr>
              <w:spacing w:after="40" w:line="240" w:lineRule="auto" w:before="0"/>
            </w:pPr>
            <w:r>
              <w:rPr>
                <w:sz w:val="20"/>
              </w:rPr>
              <w:t>Codex inspected course originals, prepared instructions/evidence/packets, checked original sources at the documented passages, validated uploaded JSON and diagnosed the revision. The student executed ChatGPT runs and reviewed findings; independent judgment supplied by the student. v0.2: user-reported GPT-6/Medium, 25 Oct. 2026 New York date, fresh conversations; exact times/model ID/tool audit unknown. v0.3 runtime details not supplied. Original studies were checked, not replicated; inaccessible NIST/WHO/JAMA content excluded.</w:t>
            </w:r>
          </w:p>
        </w:tc>
      </w:tr>
    </w:tbl>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right"/>
      <w:rPr>
        <w:rFonts w:hint="eastAsia"/>
      </w:rPr>
    </w:pPr>
    <w:r>
      <w:rPr>
        <w:color w:val="666666"/>
        <w:sz w:val="16"/>
      </w:rPr>
      <w:t>Specialist Agent Record Template</w:t>
    </w:r>
    <w:r>
      <w:rPr>
        <w:sz w:val="18"/>
      </w:rPr>
      <w:t xml:space="preserve"> | Assignment 4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 Specialist Agent Record</dc:title>
  <dc:subject>Student instructions for weekly individual assignments</dc:subject>
  <dc:creator>Zhixian Zhang (Freya Zhang)</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2026-10-26T01:48:59Z</dcterms:created>
  <dcterms:modified xsi:type="dcterms:W3CDTF">2026-10-26T01:48:59Z</dcterms:modified>
  <cp:category/>
</cp:coreProperties>
</file>