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4: Promethean Technology Classification Agent</w:t>
      </w:r>
    </w:p>
    <w:p>
      <w:r>
        <w:t>Zhixian Zhang (Freya Zhang) | NYU MS in Management and Analytics</w:t>
        <w:br/>
        <w:t>MASY1-GC 1800 Emerging Technologies | Record date: 25 October 2026</w:t>
      </w:r>
    </w:p>
    <w:p>
      <w:pPr>
        <w:pStyle w:val="Heading1"/>
      </w:pPr>
      <w:r>
        <w:t>1. Actual Primary Agent Output Report</w:t>
      </w:r>
    </w:p>
    <w:p>
      <w:r>
        <w:t>Source: primary_v0.3_run1.json, agent 0.3-suppression-fix. This section is an edited presentation of the actual response, not a new model run. The complete unedited JSON and exact prompt are in the Agent Package ZIP. No source findings were independently refreshed during the model run.</w:t>
      </w:r>
    </w:p>
    <w:p>
      <w:pPr>
        <w:pStyle w:val="Heading2"/>
      </w:pPr>
      <w:r>
        <w:t>Question, scope and three-level finding</w:t>
      </w:r>
    </w:p>
    <w:p>
      <w:r>
        <w:t>Under Chapter 11, are deployable general-purpose LLM systems incremental, breakthrough, or potentially civilization-changing, and how much should that general significance influence a hypothetical mid-sized software company’s controlled development-workflow decision over six months?</w:t>
      </w:r>
    </w:p>
    <w:p>
      <w:r>
        <w:t>General technology: qualified Breakthrough, based on observed cross-task constraint reduction. The system boundary is deployable general-purpose LLM systems supporting varied cognitive/knowledge tasks, not all AI, a model component, one coding assistant or specialized AMIE. The response does not establish categorical dissolution across distinct tiers and does not issue a Potential or Confirmed Promethean verdict. Its prospective finding is evidence-limited, not a permanent ceiling on future significance.</w:t>
      </w:r>
    </w:p>
    <w:p>
      <w:r>
        <w:t>Application: code generation, explanation, test assistance, debugging and documentation may improve selected tasks. Generating code does not establish secure merging or maintainability. Effects depend on developer experience, tool generation, task and review burden. Existing software tools and human engineers could still perform the demonstrated activities if LLMs vanished.</w:t>
      </w:r>
    </w:p>
    <w:p>
      <w:r>
        <w:t>Organization: the hypothetical mid-sized company is a moderate fast follower with an established human-review workflow. Security reviewers, developers, customers and data owners face different consequences. No local baseline, return on investment, incident history or verified readiness is supplied. Chosen dependence on a vendor would not establish general civilizational dissolution.</w:t>
      </w:r>
    </w:p>
    <w:p>
      <w:pPr>
        <w:pStyle w:val="Heading2"/>
      </w:pPr>
      <w:r>
        <w:t>Categorical barrier and suppression test</w:t>
      </w:r>
    </w:p>
    <w:p>
      <w:r>
        <w:t>The response proposes a cognitive-work barrier but calls its categorical status disputable: humans, search, templates, compilers and task-specific software were prior alternatives, and oversight remains necessary. It distinguishes three outcomes. Feasible restoration of old constrained workflows supports reduction. Collapse of genuinely dependent activities without feasible prior substitutes could support dissolution if the causal link is evidenced. Where substitution or dependency is unknown, the result remains unresolved. The dossier supplies no specified indispensable LLM-native activity meeting the latter test.</w:t>
      </w:r>
    </w:p>
    <w:p>
      <w:r>
        <w:t>Coding and customer support are sectors, not proof of two dissolved tiers. Simulated specialized clinical dialogue does not demonstrate transformation of biological survival. Chapter 11 provisionally calls generative AI Potential Promethean [C11, pp. 10–11]; the response acknowledges this calibration but withholds that finding on the narrower dossier. Missing historical irreversibility alone is not its reason for withholding candidacy.</w:t>
      </w:r>
    </w:p>
    <w:p>
      <w:pPr>
        <w:pStyle w:val="Heading1"/>
        <w:pageBreakBefore/>
      </w:pPr>
      <w:r>
        <w:t>1. Actual Primary Agent Output Report (continued)</w:t>
      </w:r>
    </w:p>
    <w:p>
      <w:pPr>
        <w:pStyle w:val="Heading2"/>
      </w:pPr>
      <w:r>
        <w:t>Six criteria: conditional diagnostics, not a passed gate</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tcPr>
          <w:p>
            <w:pPr>
              <w:spacing w:after="80"/>
            </w:pPr>
            <w:r>
              <w:rPr>
                <w:sz w:val="20"/>
              </w:rPr>
              <w:t>Criterion</w:t>
            </w:r>
          </w:p>
        </w:tc>
        <w:tc>
          <w:tcPr>
            <w:tcW w:type="dxa" w:w="5040"/>
          </w:tcPr>
          <w:p>
            <w:pPr>
              <w:spacing w:after="80"/>
            </w:pPr>
            <w:r>
              <w:rPr>
                <w:sz w:val="20"/>
              </w:rPr>
              <w:t>Actual response position</w:t>
            </w:r>
          </w:p>
        </w:tc>
      </w:tr>
      <w:tr>
        <w:trPr>
          <w:cantSplit/>
        </w:trPr>
        <w:tc>
          <w:tcPr>
            <w:tcW w:type="dxa" w:w="5040"/>
          </w:tcPr>
          <w:p>
            <w:pPr>
              <w:spacing w:after="80"/>
            </w:pPr>
            <w:r>
              <w:rPr>
                <w:sz w:val="20"/>
              </w:rPr>
              <w:t>Order-of-magnitude improvement</w:t>
            </w:r>
          </w:p>
        </w:tc>
        <w:tc>
          <w:tcPr>
            <w:tcW w:type="dxa" w:w="5040"/>
          </w:tcPr>
          <w:p>
            <w:pPr>
              <w:spacing w:after="80"/>
            </w:pPr>
            <w:r>
              <w:rPr>
                <w:sz w:val="20"/>
              </w:rPr>
              <w:t>Unsupported on the supplied quality-adjusted comparisons. S1 yields about 2.26× baseline/assisted task time; S2 about 1.14× issues/hour. No relevant verified 10× comparison including quality, oversight, costs and access is established.</w:t>
            </w:r>
          </w:p>
        </w:tc>
      </w:tr>
      <w:tr>
        <w:trPr>
          <w:cantSplit/>
        </w:trPr>
        <w:tc>
          <w:tcPr>
            <w:tcW w:type="dxa" w:w="5040"/>
          </w:tcPr>
          <w:p>
            <w:pPr>
              <w:spacing w:after="80"/>
            </w:pPr>
            <w:r>
              <w:rPr>
                <w:sz w:val="20"/>
              </w:rPr>
              <w:t>Widespread impact</w:t>
            </w:r>
          </w:p>
        </w:tc>
        <w:tc>
          <w:tcPr>
            <w:tcW w:type="dxa" w:w="5040"/>
          </w:tcPr>
          <w:p>
            <w:pPr>
              <w:spacing w:after="80"/>
            </w:pPr>
            <w:r>
              <w:rPr>
                <w:sz w:val="20"/>
              </w:rPr>
              <w:t>Mixed. Coding, support and specialized simulated medicine suggest breadth; population reach, exclusions and cross-tier transformation remain uncertain.</w:t>
            </w:r>
          </w:p>
        </w:tc>
      </w:tr>
      <w:tr>
        <w:trPr>
          <w:cantSplit/>
        </w:trPr>
        <w:tc>
          <w:tcPr>
            <w:tcW w:type="dxa" w:w="5040"/>
          </w:tcPr>
          <w:p>
            <w:pPr>
              <w:spacing w:after="80"/>
            </w:pPr>
            <w:r>
              <w:rPr>
                <w:sz w:val="20"/>
              </w:rPr>
              <w:t>Paradigm shift</w:t>
            </w:r>
          </w:p>
        </w:tc>
        <w:tc>
          <w:tcPr>
            <w:tcW w:type="dxa" w:w="5040"/>
          </w:tcPr>
          <w:p>
            <w:pPr>
              <w:spacing w:after="80"/>
            </w:pPr>
            <w:r>
              <w:rPr>
                <w:sz w:val="20"/>
              </w:rPr>
              <w:t>Mixed/inferential. Natural-language assistance may reshape task allocation, but review and prior alternatives remain; a categorical replacement of assumptions is unproved.</w:t>
            </w:r>
          </w:p>
        </w:tc>
      </w:tr>
      <w:tr>
        <w:trPr>
          <w:cantSplit/>
        </w:trPr>
        <w:tc>
          <w:tcPr>
            <w:tcW w:type="dxa" w:w="5040"/>
          </w:tcPr>
          <w:p>
            <w:pPr>
              <w:spacing w:after="80"/>
            </w:pPr>
            <w:r>
              <w:rPr>
                <w:sz w:val="20"/>
              </w:rPr>
              <w:t>Catalytic effect</w:t>
            </w:r>
          </w:p>
        </w:tc>
        <w:tc>
          <w:tcPr>
            <w:tcW w:type="dxa" w:w="5040"/>
          </w:tcPr>
          <w:p>
            <w:pPr>
              <w:spacing w:after="80"/>
            </w:pPr>
            <w:r>
              <w:rPr>
                <w:sz w:val="20"/>
              </w:rPr>
              <w:t>Not adequately observable in this dossier. Secondary innovations are plausible; a verified dependent ecosystem and substitution counterfactual are missing.</w:t>
            </w:r>
          </w:p>
        </w:tc>
      </w:tr>
      <w:tr>
        <w:trPr>
          <w:cantSplit/>
        </w:trPr>
        <w:tc>
          <w:tcPr>
            <w:tcW w:type="dxa" w:w="5040"/>
          </w:tcPr>
          <w:p>
            <w:pPr>
              <w:spacing w:after="80"/>
            </w:pPr>
            <w:r>
              <w:rPr>
                <w:sz w:val="20"/>
              </w:rPr>
              <w:t>Democratizing effect</w:t>
            </w:r>
          </w:p>
        </w:tc>
        <w:tc>
          <w:tcPr>
            <w:tcW w:type="dxa" w:w="5040"/>
          </w:tcPr>
          <w:p>
            <w:pPr>
              <w:spacing w:after="80"/>
            </w:pPr>
            <w:r>
              <w:rPr>
                <w:sz w:val="20"/>
              </w:rPr>
              <w:t>Mixed. Novice gains suggest diffusion of assistance, while language, price, skills, infrastructure, oversight and provider concentration limit inference.</w:t>
            </w:r>
          </w:p>
        </w:tc>
      </w:tr>
      <w:tr>
        <w:trPr>
          <w:cantSplit/>
        </w:trPr>
        <w:tc>
          <w:tcPr>
            <w:tcW w:type="dxa" w:w="5040"/>
          </w:tcPr>
          <w:p>
            <w:pPr>
              <w:spacing w:after="80"/>
            </w:pPr>
            <w:r>
              <w:rPr>
                <w:sz w:val="20"/>
              </w:rPr>
              <w:t>Irreversibility</w:t>
            </w:r>
          </w:p>
        </w:tc>
        <w:tc>
          <w:tcPr>
            <w:tcW w:type="dxa" w:w="5040"/>
          </w:tcPr>
          <w:p>
            <w:pPr>
              <w:spacing w:after="80"/>
            </w:pPr>
            <w:r>
              <w:rPr>
                <w:sz w:val="20"/>
              </w:rPr>
              <w:t>Not yet observable. Durable infrastructure-scale inability to revert is not evidenced; reluctance to forgo AI is insufficient.</w:t>
            </w:r>
          </w:p>
        </w:tc>
      </w:tr>
    </w:tbl>
    <w:p>
      <w:r>
        <w:t>These observations do not clear the unresolved dissolution and cross-tier gates, and the same study is not counted as independent proof for multiple criteria.</w:t>
      </w:r>
    </w:p>
    <w:p>
      <w:pPr>
        <w:pStyle w:val="Heading2"/>
      </w:pPr>
      <w:r>
        <w:t>Evidence supporting and opposing higher significance</w:t>
      </w:r>
    </w:p>
    <w:p>
      <w:r>
        <w:t>S1 provides favorable randomized evidence for a narrow standardized programming task: among completers, average time was 71.17 versus 160.89 minutes, a 55.8% reduction, not a 10× gain. It did not assess wider code quality. S2 reports 14% more issues resolved per hour in a customer-support rollout, with larger novice gains; its difference-in-differences design is not a randomized trial. These sources support useful assistance and possible expertise diffusion, not universal replacement of human cognition.</w:t>
      </w:r>
    </w:p>
    <w:p>
      <w:r>
        <w:t>S3 found 19% longer task times for 16 experienced contributors across 246 tasks with early-2025 tools. This historical result is not a current universal slowdown. S4 identifies selection and measurement problems in later estimates. S5 reports perceived value gains of 1.4–2× and speed of 3× in a 349-person survey, not measured causal effects. S3–S5 share an issuer and are not three independent replications.</w:t>
      </w:r>
    </w:p>
    <w:p>
      <w:r>
        <w:t>S6 reports favorable performance for specialized AMIE in simulated text consultations, with 149 scenarios and 20 physicians; it does not establish generic LLM safety or documentation benefits in a hospital. S7 identifies insecure-code and overconfidence risks in a small older-tool study, not a current universal vulnerability rate. Together, favorable and adverse findings concern different tasks, systems, populations and dates and cannot be pooled into one productivity estimate.</w:t>
      </w:r>
    </w:p>
    <w:p>
      <w:pPr>
        <w:pStyle w:val="Heading1"/>
        <w:pageBreakBefore/>
      </w:pPr>
      <w:r>
        <w:t>1. Actual Primary Agent Output Report (continued)</w:t>
      </w:r>
    </w:p>
    <w:p>
      <w:pPr>
        <w:pStyle w:val="Heading2"/>
      </w:pPr>
      <w:r>
        <w:t>Confidence, value and governance</w:t>
      </w:r>
    </w:p>
    <w:p>
      <w:r>
        <w:t>The response expresses moderate confidence in meaningful but task-dependent reduction and in the dossier’s failure to establish current categorical dissolution. Confidence is low in a permanent significance ceiling, a general current effect size or future irreversibility. Original checks are attributed to dossier preparation; the model does not claim fresh retrieval or independent replication.</w:t>
      </w:r>
    </w:p>
    <w:p>
      <w:r>
        <w:t>A pilot could investigate faster bounded work and expanded developer support. Net value must include developer and reviewer time, accepted outcomes, defects, rework and tool/integration costs. Insecure suggestions, fabricated behavior, confidential-data exposure, automation bias and relevant licensing/provenance questions require assessment. These are risk considerations, not claims of observed incidents or legal findings. Humans retain acceptance and release authority.</w:t>
      </w:r>
    </w:p>
    <w:p>
      <w:pPr>
        <w:pStyle w:val="Heading2"/>
      </w:pPr>
      <w:r>
        <w:t>Management recommendation</w:t>
      </w:r>
    </w:p>
    <w:p>
      <w:r>
        <w:t>The actual recommendation is an opt-in, time-bounded, reversible comparison on representative low-to-moderate-risk development tasks after security and confidentiality review, within the hypothetical six-month horizon. Use comparable no-AI baselines and task stratification; predefine acceptance criteria; measure total developer/reviewer time, correctness, maintainability, security, rework, costs and user experience. Randomize or transparently control assignment where feasible. Exclude sensitive code until protections are approved. Scale, revise or stop on measured outcomes, not a Promethean label. The pilot has not occurred.</w:t>
      </w:r>
    </w:p>
    <w:p>
      <w:pPr>
        <w:pStyle w:val="Heading2"/>
      </w:pPr>
      <w:r>
        <w:t>Reassessment triggers and abstention conditions</w:t>
      </w:r>
    </w:p>
    <w:p>
      <w:r>
        <w:t>Reassess the general finding when named activities can be tested against feasible prior substitutes; distinguish evidence of restoration from evidence of dependent collapse, and leave unknown quality, capacity, cost or timescale unresolved. Seek distinct-tier dissolution rather than more industry examples; credible roughly-tenfold evidence on a meaningful specified dimension; attributable dependent innovations; distributed access; and durable infrastructure dependence. For the local decision, stop or restrict on security/confidentiality problems, excess reviewer burden or negative net productivity; consider cautious expansion on replicated favorable results.</w:t>
      </w:r>
    </w:p>
    <w:p>
      <w:r>
        <w:t>The response retains a qualified Breakthrough judgment but withholds confirmed dissolution, Promethean candidacy, universal 10× effects, irreversible dependence and local ROI. It requests stronger barrier/substitution evidence, recent quality/cost/access comparisons and approved local evaluation prerequisites. No society-wide shutdown experiment is required.</w:t>
      </w:r>
    </w:p>
    <w:p>
      <w:pPr>
        <w:pStyle w:val="Heading2"/>
      </w:pPr>
      <w:r>
        <w:t>Observed revision and remaining limitation</w:t>
      </w:r>
    </w:p>
    <w:p>
      <w:r>
        <w:t>Primary v0.2 incorrectly said a return to the old constrained state could strengthen the suppression gate. Only Layer 2 step 3 was revised. With the same case and evidence, the actual Primary v0.3 retest explicitly maps feasible reversion to reduction, causally supported dependent collapse to potential dissolution evidence, and missing substitution evidence to unresolved. All five responses pass the original validator and complete frozen schema. One corrected retest does not establish general reliability; hospital, startup and hype findings are v0.2 results, not v0.3 retests.</w:t>
      </w:r>
    </w:p>
    <w:p>
      <w:r>
        <w:t>The v0.3 response still asks whether an activity was “impossible in principle.” That may impose a stronger standard than Chapter 11’s practical categorical constraint. This concern is preserved, not edited out of the raw output. Lower-label justification, conditional criterion presentation and pilot-scope variation also remain limitations. Inaccessible NIST/WHO/JAMA content contributes no verified evidence; long-run dependence, comprehensive cost/access and local outcomes remain unestablished.</w:t>
      </w:r>
    </w:p>
    <w:p>
      <w:pPr>
        <w:pStyle w:val="Heading1"/>
        <w:pageBreakBefore/>
      </w:pPr>
      <w:r>
        <w:t>2. Independent Professional Judgment</w:t>
      </w:r>
    </w:p>
    <w:p>
      <w:r>
        <w:t>The current evidence supports a qualified Breakthrough conclusion, but the absence of demonstrated categorical dissolution does not establish that general-purpose LLMs lack future Promethean potential. Chapter 11’s barrier should not automatically mean an activity was physically impossible in principle. A practical constraint can organize an entire domain even when limited alternatives previously existed. The agent’s remaining wording risks setting that threshold too high.</w:t>
      </w:r>
    </w:p>
    <w:p>
      <w:r>
        <w:t>I would support limited, reversible organizational testing while withholding stronger civilizational claims. Management should have more confidence in the need to measure local outcomes than in a universal productivity estimate or long-range classification. Adoption should depend on accepted output, security, review effort and total cost, not technological prestige. I would reconsider the broader classification if credible evidence showed a specific categorical constraint had dissolved across distinct tiers, with dependent activities that prior methods could not feasibly sustain. The single corrected retest improves confidence in one instruction control, not in the agent’s general reliability.</w:t>
      </w:r>
    </w:p>
    <w:p>
      <w:pPr>
        <w:pStyle w:val="Heading1"/>
      </w:pPr>
      <w:r>
        <w:t>3. AI Use and Verification Note</w:t>
      </w:r>
    </w:p>
    <w:p>
      <w:r>
        <w:t>Codex inspected the six course originals, developed the specialist, checked a bounded seven-source dossier, built packets, validated uploaded JSON and diagnosed/revised the suppression control. The student independently executed four v0.2 ChatGPT conversations, supplied the Primary v0.3 response, reviewed findings and provided the judgment above. Codex generated no replacement test outputs.</w:t>
      </w:r>
    </w:p>
    <w:p>
      <w:r>
        <w:t>For v0.2, the student reported GPT-6 as displayed, Medium effort, 25 October 2026 in America/New_York, complete packets pasted as Pasted Text attachments in separate fresh conversations, and downloaded JSON without analytical edits. No browsing was requested or intentionally enabled; internal tool use was not audited. Exact timestamps and a precise model identifier were not logged. Comparable runtime details for v0.3 were not supplied and are not inferred from v0.2.</w:t>
      </w:r>
    </w:p>
    <w:p>
      <w:r>
        <w:t>Original methods, results and limitations were inspected during preparation, not experimentally replicated. Historical tools, samples, observational identification, self-reports and clinical simulation limit generalization. Runs relied on embedded notes rather than fresh retrieval; inaccessible sources were excluded. Scaffold bytes, response hashes and both validation checks establish technical traceability, not analytical correctness. Human review examined the findings; the reflection below remains proposed.</w:t>
      </w:r>
    </w:p>
    <w:p>
      <w:pPr>
        <w:pStyle w:val="Heading1"/>
      </w:pPr>
      <w:r>
        <w:t>4. Craft Gained</w:t>
      </w:r>
    </w:p>
    <w:p>
      <w:r>
        <w:rPr>
          <w:i/>
        </w:rPr>
        <w:t>Proposed personal reflection for student review:</w:t>
      </w:r>
    </w:p>
    <w:p>
      <w:r>
        <w:t>The suppression-test revision showed how a correct general explanation can coexist with a reversed reassessment rule. The original response treated a return to old constraints as evidence strengthening dissolution; the retest separated feasible reversion, dependent-system collapse and unresolved substitution. My proposed lesson is to check the direction of decision triggers against the main finding, rather than accepting a consistent-looking label. In future evaluations, I would preserve the original error and test the revised rule with unchanged evidence before trusting the correction.</w:t>
      </w:r>
    </w:p>
    <w:p>
      <w:pPr>
        <w:pStyle w:val="Heading1"/>
        <w:pageBreakBefore/>
      </w:pPr>
      <w:r>
        <w:t>References and artifact identification</w:t>
      </w:r>
    </w:p>
    <w:p>
      <w:r>
        <w:t>Agent: 0.3-suppression-fix. Frozen scaffold: MASY1800_ET_Agent_Scaffold_v1_0. Branch: assignment4-promethean. Tested development record commit: d8be121c5698bd722aa7fbe9440462cb4e633ab0. The submission documents are derived from this candidate; no new model run or development commit is implied.</w:t>
      </w:r>
    </w:p>
    <w:p>
      <w:r>
        <w:t xml:space="preserve">GitHub candidate: </w:t>
      </w:r>
      <w:hyperlink r:id="rId10">
        <w:r>
          <w:rPr>
            <w:color w:val="174A78"/>
          </w:rPr>
          <w:t>https://github.com/zz10965-alt/emerging-technologies-agents/tree/d8be121c5698bd722aa7fbe9440462cb4e633ab0</w:t>
        </w:r>
      </w:hyperlink>
    </w:p>
    <w:p>
      <w:r>
        <w:t>[C11] Fortino, A. (2026, August). Chapter 11: Identifying Promethean Technologies (draft rev. 0.1), especially §§11.2 and 11.7, pp. 3–4 and 9–11. Supplied course PDF.</w:t>
      </w:r>
    </w:p>
    <w:p>
      <w:r>
        <w:t>[S1] Peng, S., Kalliamvakou, E., Cihon, P., &amp; Demirer, M. (2023, February 13). The impact of AI on developer productivity: Evidence from GitHub Copilot. arXiv:2302.06590v1.</w:t>
      </w:r>
      <w:r>
        <w:br/>
      </w:r>
      <w:hyperlink r:id="rId11">
        <w:r>
          <w:rPr>
            <w:color w:val="174A78"/>
          </w:rPr>
          <w:t>https://arxiv.org/abs/2302.06590v1</w:t>
        </w:r>
      </w:hyperlink>
    </w:p>
    <w:p>
      <w:r>
        <w:t>[S2] Brynjolfsson, E., Li, D., &amp; Raymond, L. R. (2023, April; revised November). Generative AI at work. NBER Working Paper 31161. This report uses the verified working-paper version, not later journal estimates.</w:t>
      </w:r>
      <w:r>
        <w:br/>
      </w:r>
      <w:hyperlink r:id="rId12">
        <w:r>
          <w:rPr>
            <w:color w:val="174A78"/>
          </w:rPr>
          <w:t>https://www.nber.org/papers/w31161</w:t>
        </w:r>
      </w:hyperlink>
    </w:p>
    <w:p>
      <w:r>
        <w:t>[S3] Becker, J., Rush, N., Barnes, B., &amp; Rein, D. (2025, July). Measuring the impact of early-2025 AI on experienced open-source developer productivity. METR; arXiv v2, July 25. Historical setting, read with S4/S5.</w:t>
      </w:r>
      <w:r>
        <w:br/>
      </w:r>
      <w:hyperlink r:id="rId13">
        <w:r>
          <w:rPr>
            <w:color w:val="174A78"/>
          </w:rPr>
          <w:t>https://arxiv.org/abs/2507.09089v2</w:t>
        </w:r>
      </w:hyperlink>
    </w:p>
    <w:p>
      <w:r>
        <w:t>[S4] Becker, J., Rush, N., Cunningham, T., Rein, D., &amp; Mahamud, K. (2026, February 24). We are changing our developer productivity experiment design. METR.</w:t>
      </w:r>
      <w:r>
        <w:br/>
      </w:r>
      <w:hyperlink r:id="rId14">
        <w:r>
          <w:rPr>
            <w:color w:val="174A78"/>
          </w:rPr>
          <w:t>https://metr.org/blog/2026-02-24-uplift-update/</w:t>
        </w:r>
      </w:hyperlink>
    </w:p>
    <w:p>
      <w:r>
        <w:t>[S5] Becker, J. (2026, May 11). Measuring the self-reported impact of early-2026 AI on technical worker productivity. METR.</w:t>
      </w:r>
      <w:r>
        <w:br/>
      </w:r>
      <w:hyperlink r:id="rId15">
        <w:r>
          <w:rPr>
            <w:color w:val="174A78"/>
          </w:rPr>
          <w:t>https://metr.org/blog/2026-05-11-ai-usage-survey/</w:t>
        </w:r>
      </w:hyperlink>
    </w:p>
    <w:p>
      <w:r>
        <w:t>[S6] Tu, T., Palepu, A., Schaekermann, M., et al. (2024, January 11). Towards conversational diagnostic AI. arXiv:2401.05654v1.</w:t>
      </w:r>
      <w:r>
        <w:br/>
      </w:r>
      <w:hyperlink r:id="rId16">
        <w:r>
          <w:rPr>
            <w:color w:val="174A78"/>
          </w:rPr>
          <w:t>https://arxiv.org/abs/2401.05654v1</w:t>
        </w:r>
      </w:hyperlink>
    </w:p>
    <w:p>
      <w:r>
        <w:t>[S7] Perry, N., Srivastava, M., Kumar, D., &amp; Boneh, D. (2023). Do users write more insecure code with AI assistants? CCS 2023. DOI: 10.1145/3576915.3623157; arXiv v3, December 18 (initial preprint November 7, 2022).</w:t>
      </w:r>
      <w:r>
        <w:br/>
      </w:r>
      <w:hyperlink r:id="rId17">
        <w:r>
          <w:rPr>
            <w:color w:val="174A78"/>
          </w:rPr>
          <w:t>https://arxiv.org/abs/2211.03622v3</w:t>
        </w:r>
      </w:hyperlink>
    </w:p>
    <w:p>
      <w:r>
        <w:t>Companion artifacts: Assignment4_Promethean_Agent_Package.zip; Assignment4_Agent_Record.docx. ZIP-relative source paths: agents/promethean_agent/responses/primary_v0.3_run1.json; prompts/primary_v0.3_prompt.txt and evidence/source_register.md under the same specialist directory. Complete five-response history and validation records are preserved in that directory. All cases are hypothetical; no organizational deployment or performance metric is invented.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Assignment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zz10965-alt/emerging-technologies-agents/tree/d8be121c5698bd722aa7fbe9440462cb4e633ab0" TargetMode="External"/><Relationship Id="rId11" Type="http://schemas.openxmlformats.org/officeDocument/2006/relationships/hyperlink" Target="https://arxiv.org/abs/2302.06590v1" TargetMode="External"/><Relationship Id="rId12" Type="http://schemas.openxmlformats.org/officeDocument/2006/relationships/hyperlink" Target="https://www.nber.org/papers/w31161" TargetMode="External"/><Relationship Id="rId13" Type="http://schemas.openxmlformats.org/officeDocument/2006/relationships/hyperlink" Target="https://arxiv.org/abs/2507.09089v2" TargetMode="External"/><Relationship Id="rId14" Type="http://schemas.openxmlformats.org/officeDocument/2006/relationships/hyperlink" Target="https://metr.org/blog/2026-02-24-uplift-update/" TargetMode="External"/><Relationship Id="rId15" Type="http://schemas.openxmlformats.org/officeDocument/2006/relationships/hyperlink" Target="https://metr.org/blog/2026-05-11-ai-usage-survey/" TargetMode="External"/><Relationship Id="rId16" Type="http://schemas.openxmlformats.org/officeDocument/2006/relationships/hyperlink" Target="https://arxiv.org/abs/2401.05654v1" TargetMode="External"/><Relationship Id="rId17" Type="http://schemas.openxmlformats.org/officeDocument/2006/relationships/hyperlink" Target="https://arxiv.org/abs/2211.03622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 Individual Report</dc:title>
  <dc:subject/>
  <dc:creator>Zhixian Zhang (Freya Zhang)</dc:creator>
  <cp:keywords/>
  <dc:description>generated by python-docx</dc:description>
  <cp:lastModifiedBy/>
  <cp:revision>1</cp:revision>
  <dcterms:created xsi:type="dcterms:W3CDTF">2026-10-26T01:48:59Z</dcterms:created>
  <dcterms:modified xsi:type="dcterms:W3CDTF">2026-10-26T01:48:59Z</dcterms:modified>
  <cp:category/>
</cp:coreProperties>
</file>