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Primary-Case Agent Output Report</w:t>
      </w:r>
    </w:p>
    <w:p>
      <w:r>
        <w:t>Status: Reviewed report of actual v0 output; revision 0.4 prepared, behavioral retest pending. This is not a report of a successful revised-agent run.</w:t>
      </w:r>
    </w:p>
    <w:p>
      <w:pPr>
        <w:pStyle w:val="Heading2"/>
      </w:pPr>
      <w:r>
        <w:t>Case and decision</w:t>
      </w:r>
    </w:p>
    <w:p>
      <w:r>
        <w:t>The case is a hypothetical small bilingual consultancy helping Chinese home/lifestyle consumer brands enter the United States. It sells fixed-fee public-source market-entry research packages through referrals and direct outreach. Junior desk research, bilingual synthesis and senior review are material activities. These are declared scenario assumptions, not facts about an identified firm. The decision is what to do over the next 12 months with human-assisted LLM research and drafting. Legal, tax, customs and product-compliance advice are outside scope.</w:t>
      </w:r>
    </w:p>
    <w:p>
      <w:r>
        <w:t>The unchanged technology can assist bilingual public-source synthesis; it does not itself supply real customer interviews, verified local observations or channel execution. No financial statements, client survey, willingness-to-pay test or consulting productivity measurement has been performed.</w:t>
      </w:r>
    </w:p>
    <w:p>
      <w:pPr>
        <w:pStyle w:val="Heading2"/>
      </w:pPr>
      <w:r>
        <w:t>Actual agent finding and reviewer judgment</w:t>
      </w:r>
    </w:p>
    <w:p>
      <w:r>
        <w:t>The v0 agent returned conditional High Business-Model Disruption Potency and High × Mid-term, using October 14, 2027–October 13, 2029 as its material-impact window. Its recommendation was to prepare and pilot. The exact original is responses/primary_v0.json.</w:t>
      </w:r>
    </w:p>
    <w:p>
      <w:r>
        <w:t>The business exposure is plausible: if clients can obtain reliable generic report content themselves, part of the consultancy's paid offering may lose differentiation. But neither client substitution nor material price erosion is observed in the evidence. The calendar bins were supplied as analytical conventions, not arrival forecasts. The reviewer therefore does not endorse an evidenced High/mid-term forecast. Supported real-world magnitude and timing remain undetermined. A High stress scenario is useful only if reliable client self-service or competing offers materially displace the paid report core. This is a conditional assessment, not a categorical downgrade to Moderate.</w:t>
      </w:r>
    </w:p>
    <w:p>
      <w:pPr>
        <w:pStyle w:val="Heading2"/>
      </w:pPr>
      <w:r>
        <w:t>Three levels of analysis</w:t>
      </w:r>
    </w:p>
    <w:p>
      <w:pPr>
        <w:pStyle w:val="ListBullet"/>
      </w:pPr>
      <w:r>
        <w:t>ET generally: LLM task assistance is plausible, with source accuracy, privacy and human-overreliance limits. Task improvement alone does not prove Christensen-style disruption. Workplace evidence is from a different setting.</w:t>
      </w:r>
    </w:p>
    <w:p>
      <w:pPr>
        <w:pStyle w:val="ListBullet"/>
      </w:pPr>
      <w:r>
        <w:t>For this application: Public competitor scans, bilingual briefing and first drafts may become easier to produce. AI-generated personas are not real U.S. consumer validation. Whether speed exceeds verification/rework cost is unmeasured.</w:t>
      </w:r>
    </w:p>
    <w:p>
      <w:pPr>
        <w:pStyle w:val="ListBullet"/>
      </w:pPr>
      <w:r>
        <w:t>For this organization: Selling report content exposes a different paid value mechanism from selling field validation or consumer products. Bilingual organization and senior judgment may retain value; their defensibility and clients' willingness to pay have not been tested.</w:t>
      </w:r>
    </w:p>
    <w:p>
      <w:pPr>
        <w:pStyle w:val="Heading2"/>
      </w:pPr>
      <w:r>
        <w:t>Reviewed creative-destruction ledger</w:t>
      </w:r>
    </w:p>
    <w:p>
      <w:r>
        <w:t>These are reviewer-organized scenario hypotheses derived from v0 and the intake, not new model outputs or measured effects.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rPr>
              <w:t>Element / stakeholder</w:t>
            </w:r>
          </w:p>
        </w:tc>
        <w:tc>
          <w:tcPr>
            <w:tcW w:type="dxa" w:w="2520"/>
          </w:tcPr>
          <w:p>
            <w:r>
              <w:rPr>
                <w:b/>
              </w:rPr>
              <w:t>Value created or enabled</w:t>
            </w:r>
          </w:p>
        </w:tc>
        <w:tc>
          <w:tcPr>
            <w:tcW w:type="dxa" w:w="2520"/>
          </w:tcPr>
          <w:p>
            <w:r>
              <w:rPr>
                <w:b/>
              </w:rPr>
              <w:t>Value displaced or exposed</w:t>
            </w:r>
          </w:p>
        </w:tc>
        <w:tc>
          <w:tcPr>
            <w:tcW w:type="dxa" w:w="2520"/>
          </w:tcPr>
          <w:p>
            <w:r>
              <w:rPr>
                <w:b/>
              </w:rPr>
              <w:t>Mechanism, basis and timing</w:t>
            </w:r>
          </w:p>
        </w:tc>
      </w:tr>
      <w:tr>
        <w:tc>
          <w:tcPr>
            <w:tcW w:type="dxa" w:w="2520"/>
          </w:tcPr>
          <w:p>
            <w:r>
              <w:t>Report service / clients and firm</w:t>
            </w:r>
          </w:p>
        </w:tc>
        <w:tc>
          <w:tcPr>
            <w:tcW w:type="dxa" w:w="2520"/>
          </w:tcPr>
          <w:p>
            <w:r>
              <w:t>Faster drafts; possible lower-cost entry tier</w:t>
            </w:r>
          </w:p>
        </w:tc>
        <w:tc>
          <w:tcPr>
            <w:tcW w:type="dxa" w:w="2520"/>
          </w:tcPr>
          <w:p>
            <w:r>
              <w:t>Generic report differentiation and fees</w:t>
            </w:r>
          </w:p>
        </w:tc>
        <w:tc>
          <w:tcPr>
            <w:tcW w:type="dxa" w:w="2520"/>
          </w:tcPr>
          <w:p>
            <w:r>
              <w:t>Conditional self-service/entrant substitution; A1 scenario and S1 analogy only; material timing unknown</w:t>
            </w:r>
          </w:p>
        </w:tc>
      </w:tr>
      <w:tr>
        <w:tc>
          <w:tcPr>
            <w:tcW w:type="dxa" w:w="2520"/>
          </w:tcPr>
          <w:p>
            <w:r>
              <w:t>Analyst process and cost / staff</w:t>
            </w:r>
          </w:p>
        </w:tc>
        <w:tc>
          <w:tcPr>
            <w:tcW w:type="dxa" w:w="2520"/>
          </w:tcPr>
          <w:p>
            <w:r>
              <w:t>Reuse of structured research workflows</w:t>
            </w:r>
          </w:p>
        </w:tc>
        <w:tc>
          <w:tcPr>
            <w:tcW w:type="dxa" w:w="2520"/>
          </w:tcPr>
          <w:p>
            <w:r>
              <w:t>Some manual assembly effort; training/utilization incentives</w:t>
            </w:r>
          </w:p>
        </w:tc>
        <w:tc>
          <w:tcPr>
            <w:tcW w:type="dxa" w:w="2520"/>
          </w:tcPr>
          <w:p>
            <w:r>
              <w:t>Task assistance hypothesis; full review/rework cost unknown; a near-term pilot can measure it</w:t>
            </w:r>
          </w:p>
        </w:tc>
      </w:tr>
      <w:tr>
        <w:tc>
          <w:tcPr>
            <w:tcW w:type="dxa" w:w="2520"/>
          </w:tcPr>
          <w:p>
            <w:r>
              <w:t>Capabilities/assets / principals</w:t>
            </w:r>
          </w:p>
        </w:tc>
        <w:tc>
          <w:tcPr>
            <w:tcW w:type="dxa" w:w="2520"/>
          </w:tcPr>
          <w:p>
            <w:r>
              <w:t>Source-audit skill and validated research design</w:t>
            </w:r>
          </w:p>
        </w:tc>
        <w:tc>
          <w:tcPr>
            <w:tcW w:type="dxa" w:w="2520"/>
          </w:tcPr>
          <w:p>
            <w:r>
              <w:t>Bilingual synthesis alone may become less distinctive</w:t>
            </w:r>
          </w:p>
        </w:tc>
        <w:tc>
          <w:tcPr>
            <w:tcW w:type="dxa" w:w="2520"/>
          </w:tcPr>
          <w:p>
            <w:r>
              <w:t>Scenario inference, not measured competitive advantage; timing unknown</w:t>
            </w:r>
          </w:p>
        </w:tc>
      </w:tr>
      <w:tr>
        <w:tc>
          <w:tcPr>
            <w:tcW w:type="dxa" w:w="2520"/>
          </w:tcPr>
          <w:p>
            <w:r>
              <w:t>Intermediaries/partners / client and firm</w:t>
            </w:r>
          </w:p>
        </w:tc>
        <w:tc>
          <w:tcPr>
            <w:tcW w:type="dxa" w:w="2520"/>
          </w:tcPr>
          <w:p>
            <w:r>
              <w:t>Better briefs may improve partner discussions</w:t>
            </w:r>
          </w:p>
        </w:tc>
        <w:tc>
          <w:tcPr>
            <w:tcW w:type="dxa" w:w="2520"/>
          </w:tcPr>
          <w:p>
            <w:r>
              <w:t>Referral brokerage may be bypassed only if clients gain equivalent access</w:t>
            </w:r>
          </w:p>
        </w:tc>
        <w:tc>
          <w:tcPr>
            <w:tcW w:type="dxa" w:w="2520"/>
          </w:tcPr>
          <w:p>
            <w:r>
              <w:t>No direct substitution evidence; current tool does not execute partner diligence; timing unknown</w:t>
            </w:r>
          </w:p>
        </w:tc>
      </w:tr>
      <w:tr>
        <w:tc>
          <w:tcPr>
            <w:tcW w:type="dxa" w:w="2520"/>
          </w:tcPr>
          <w:p>
            <w:r>
              <w:t>Revenue/pricing / firm and smaller brands</w:t>
            </w:r>
          </w:p>
        </w:tc>
        <w:tc>
          <w:tcPr>
            <w:tcW w:type="dxa" w:w="2520"/>
          </w:tcPr>
          <w:p>
            <w:r>
              <w:t>A viable entry tier could serve previously unserved clients</w:t>
            </w:r>
          </w:p>
        </w:tc>
        <w:tc>
          <w:tcPr>
            <w:tcW w:type="dxa" w:w="2520"/>
          </w:tcPr>
          <w:p>
            <w:r>
              <w:t>Cannibalization of higher-priced generic packages</w:t>
            </w:r>
          </w:p>
        </w:tc>
        <w:tc>
          <w:tcPr>
            <w:tcW w:type="dxa" w:w="2520"/>
          </w:tcPr>
          <w:p>
            <w:r>
              <w:t>Demand, price and margin unknown; no new-market foothold observed</w:t>
            </w:r>
          </w:p>
        </w:tc>
      </w:tr>
      <w:tr>
        <w:tc>
          <w:tcPr>
            <w:tcW w:type="dxa" w:w="2520"/>
          </w:tcPr>
          <w:p>
            <w:r>
              <w:t>Local consumer evidence / research participants</w:t>
            </w:r>
          </w:p>
        </w:tc>
        <w:tc>
          <w:tcPr>
            <w:tcW w:type="dxa" w:w="2520"/>
          </w:tcPr>
          <w:p>
            <w:r>
              <w:t>Better hypotheses can guide real interviews</w:t>
            </w:r>
          </w:p>
        </w:tc>
        <w:tc>
          <w:tcPr>
            <w:tcW w:type="dxa" w:w="2520"/>
          </w:tcPr>
          <w:p>
            <w:r>
              <w:t>Simulated research can erode trust and decision quality</w:t>
            </w:r>
          </w:p>
        </w:tc>
        <w:tc>
          <w:tcPr>
            <w:tcW w:type="dxa" w:w="2520"/>
          </w:tcPr>
          <w:p>
            <w:r>
              <w:t>SBA distinguishes direct and existing-source research; NIST supports error controls; immediate control need, no measured loss</w:t>
            </w:r>
          </w:p>
        </w:tc>
      </w:tr>
    </w:tbl>
    <w:p>
      <w:pPr>
        <w:pStyle w:val="Heading2"/>
      </w:pPr>
      <w:r>
        <w:t>Matrix and bounded management response</w:t>
      </w:r>
    </w:p>
    <w:p>
      <w:r>
        <w:t>Chapter 1 Figure 1.8 maps High/mid-term to prepare/pilot, Moderate/near-term to pilot/partner and Low/near-term to a sustaining update. The v0 primary used the first cell, but material-impact timing is unsupported; a hypothetical cell must not be passed off as an evidenced placement.</w:t>
      </w:r>
    </w:p>
    <w:p>
      <w:r>
        <w:t>Management can still justify a reversible learning pilot now. The principal and research lead should compare source-linked AI and manual briefs on de-identified/public topics, measuring factual traceability, all-in analyst plus senior-review time, rework and client usefulness. An 8–12-week pilot is a proposed schedule, not a prediction of market disruption. Establish success thresholds from a documented baseline before running it. Pause for confidentiality incidents or uncorrected material factual errors. Do not cut staff, reduce fees or make client entry commitments on these unmeasured hypotheses.</w:t>
      </w:r>
    </w:p>
    <w:p>
      <w:pPr>
        <w:pStyle w:val="Heading2"/>
      </w:pPr>
      <w:r>
        <w:t>Incumbent dilemma and escalation</w:t>
      </w:r>
    </w:p>
    <w:p>
      <w:r>
        <w:t>Protecting billable preparation or report pricing may delay learning; premature cannibalization may reduce revenue without delivering reliable value. The better question is which work clients still need verified and will pay for. Shift effort only after measuring demand and cost, preserving human accountability and actual fieldwork. Review monthly pilot evidence and quarterly client/competitive signals. A credible escalation signal is documented substitution of equivalent verified outputs in lost/won proposals, with a defined denominator and baseline; v0's 20%/25% thresholds were uncalibrated proposals, not evidence.</w:t>
      </w:r>
    </w:p>
    <w:p>
      <w:pPr>
        <w:pStyle w:val="Heading2"/>
      </w:pPr>
      <w:r>
        <w:t>Evidence and limits</w:t>
      </w:r>
    </w:p>
    <w:p>
      <w:r>
        <w:t>S1: Brynjolfsson, Li and Raymond, *Generative AI at Work*, NBER WP 31161, November 2023 revision: 14% average increase in customer-support issues resolved/hour, not consulting ROI; long-run demand and generalizability remain unresolved. https://www.nber.org/papers/w31161</w:t>
      </w:r>
    </w:p>
    <w:p>
      <w:r>
        <w:t>S3: SBA's market-research guidance distinguishes existing sources from direct consumer research; it does not establish a local-service moat. https://www.sba.gov/counseling/plan-your-business/#market-research</w:t>
      </w:r>
    </w:p>
    <w:p>
      <w:r>
        <w:t>S4: NIST AI 600-1, July 2024, sections 2.2, 2.4 and 2.7 supports attention to confabulation, privacy and automation bias. https://nvlpubs.nist.gov/nistpubs/ai/NIST.AI.600-1.pdf</w:t>
      </w:r>
    </w:p>
    <w:p>
      <w:r>
        <w:t>C1: Fortino, Chapter 1, supplied August 2026 draft, provides the governing creative-destruction and matrix framework. HBS remained inaccessible and is excluded. The source register records precise sections, access/provenance and limits. Actual v0 responses passed structural checks; that does not establish sound timing or severity. Retest results must be added before calling the revised agent validated.</w:t>
      </w:r>
    </w:p>
    <w:sectPr w:rsidR="00FC693F" w:rsidRPr="0006063C" w:rsidSect="00034616">
      <w:head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Assignment 2 | Review draft — behavioral retest pending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