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Independent Professional Judgment — draft for student review</w:t>
      </w:r>
    </w:p>
    <w:p>
      <w:r>
        <w:t>I judge generative AI to be a credible business-model exposure for a report-led China-to-U.S. market-entry consultancy, but the available evidence does not justify the agent's High, mid-term forecast. Generic bilingual synthesis could lose differentiation if clients can obtain reliable substitutes; real customer insight, accountability and execution may still sustain fees. Neither substitution nor that remaining pricing power has been measured.</w:t>
      </w:r>
    </w:p>
    <w:p>
      <w:r>
        <w:t>I would separate a conditional High stress scenario from the supported assessment: material potency and timing remain undetermined. I recommend a reversible, human-reviewed research pilot now, measuring source accuracy, total delivery and correction time, client usefulness and willingness to pay. Pilot timing is a management choice, not a forecast of disruption. I would not cut staff or lower prices before establishing quality and economics.</w:t>
      </w:r>
    </w:p>
    <w:p>
      <w:r>
        <w:t>The internal-brand contrast shows why context matters: the same research tool can improve an internal cost center without displacing a report revenue stream. However, the v0 contrasts partly mixed workflow change with business-model threat. The revised agent must keep that object consistent, and its effectiveness still requires a genuine retest.</w:t>
      </w:r>
    </w:p>
    <w:sectPr w:rsidR="00FC693F" w:rsidRPr="0006063C" w:rsidSect="00034616">
      <w:head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Assignment 2 | Review draft — behavioral retest pending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