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Craft Gained — draft for student review</w:t>
      </w:r>
    </w:p>
    <w:p>
      <w:r>
        <w:t>I initially treated different ratings across cases as evidence of context sensitivity. Reviewing the outputs showed a subtler problem: the agent rated revenue-model exposure in one case and workflow change in another. I also learned that defining a mid-term window does not establish when disruption will arrive. Next time, I will hold the assessment object constant, require evidence for impact timing, and separate a useful pilot from a market forecast. A schema-valid response can still support the wrong management inference.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Assignment 2 | Review draft — behavioral retest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