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Handoff — reviewed candidate, retest pending</w:t>
      </w:r>
    </w:p>
    <w:p>
      <w:pPr>
        <w:pStyle w:val="ListBullet"/>
      </w:pPr>
      <w:r>
        <w:t>Specialist: Emerging Technology Disruption Agent, 0.4-reviewed; common input/output contract unchanged.</w:t>
      </w:r>
    </w:p>
    <w:p>
      <w:pPr>
        <w:pStyle w:val="ListBullet"/>
      </w:pPr>
      <w:r>
        <w:t>Case: Hypothetical report-led bilingual consultancy serving Chinese home/lifestyle brands entering the U.S.; contrasts are fieldwork/execution-led consulting and a brand's internal team. Same technology/evidence/posture/time definitions.</w:t>
      </w:r>
    </w:p>
    <w:p>
      <w:pPr>
        <w:pStyle w:val="ListBullet"/>
      </w:pPr>
      <w:r>
        <w:t>Most exposed element: Paid generic public-source/bilingual report content, conditional on equivalent client self-service or entrants and actual willingness to pay.</w:t>
      </w:r>
    </w:p>
    <w:p>
      <w:pPr>
        <w:pStyle w:val="ListBullet"/>
      </w:pPr>
      <w:r>
        <w:t>Create versus destroy: Lower-cost reviewed research could serve smaller brands while cannibalizing generic package fees; validation costs and demand can offset the opportunity. No net effect measured.</w:t>
      </w:r>
    </w:p>
    <w:p>
      <w:pPr>
        <w:pStyle w:val="ListBullet"/>
      </w:pPr>
      <w:r>
        <w:t>Potency/timing: v0 reported conditional High/mid-term; reviewer does not endorse it as an evidenced forecast. Real-world magnitude/timing remain undetermined; High is a stress scenario with materiality conditions.</w:t>
      </w:r>
    </w:p>
    <w:p>
      <w:pPr>
        <w:pStyle w:val="ListBullet"/>
      </w:pPr>
      <w:r>
        <w:t>Action: Reversible source-audited pilot; measure total cost/quality and client value. Keep real fieldwork and consequential decisions human-led. No staffing/pricing commitment based on the v0 labels.</w:t>
      </w:r>
    </w:p>
    <w:p>
      <w:pPr>
        <w:pStyle w:val="ListBullet"/>
      </w:pPr>
      <w:r>
        <w:t>Urgency trigger: Documented customer substitution/fee pressure from equivalent verified alternatives, measured against a defined baseline; do not treat arbitrary pilot thresholds as observed facts.</w:t>
      </w:r>
    </w:p>
    <w:p>
      <w:pPr>
        <w:pStyle w:val="ListBullet"/>
      </w:pPr>
      <w:r>
        <w:t>Actual tests: Three received v0 responses passed both course and full-schema checks. One stable general conclusion and a valid value-capture difference were observed. Severity/time comparisons are partly confounded.</w:t>
      </w:r>
    </w:p>
    <w:p>
      <w:pPr>
        <w:pStyle w:val="ListBullet"/>
      </w:pPr>
      <w:r>
        <w:t>Genuine failure and revision: Unsupported primary timing and cross-context object drift preserved; 0.4 adds evidence gates, fixed assessment objects, tailored counterarguments and scope controls. Behavioral correction is not yet demonstrated.</w:t>
      </w:r>
    </w:p>
    <w:p>
      <w:pPr>
        <w:pStyle w:val="ListBullet"/>
      </w:pPr>
      <w:r>
        <w:t>Integration limit: Do not rank this agent's Low/Moderate/High against other specialists as comparable probabilities. Preserve assumptions, confidence, evidence dates, conditionality and abstention. No legal/tax/product-compliance or final adoption authority.</w:t>
      </w:r>
    </w:p>
    <w:p>
      <w:pPr>
        <w:pStyle w:val="ListBullet"/>
      </w:pPr>
      <w:r>
        <w:t>Next owner action: Obtain actual v1 ChatGPT returns using retest packets, evaluate acceptance criteria, update record and final submission status. Student name/team and personal judgment/reflection need confirmation.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Assignment 2 | Review draft — behavioral retest pending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