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Specialist Agent Record</w:t>
      </w:r>
    </w:p>
    <w:p>
      <w:r>
        <w:t>Status: Completed record of work performed, including an explicit uncompleted behavioral-retest requirement. Not a claim of final submission readiness.</w:t>
      </w:r>
    </w:p>
    <w:p>
      <w:pPr>
        <w:pStyle w:val="Heading2"/>
      </w:pPr>
      <w:r>
        <w:t>A. Agent and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Record</w:t>
            </w:r>
          </w:p>
        </w:tc>
      </w:tr>
      <w:tr>
        <w:tc>
          <w:tcPr>
            <w:tcW w:type="dxa" w:w="5040"/>
          </w:tcPr>
          <w:p>
            <w:r>
              <w:t>Student / team</w:t>
            </w:r>
          </w:p>
        </w:tc>
        <w:tc>
          <w:tcPr>
            <w:tcW w:type="dxa" w:w="5040"/>
          </w:tcPr>
          <w:p>
            <w:r>
              <w:t>Student to enter personal name/team before submission; no identity invented</w:t>
            </w:r>
          </w:p>
        </w:tc>
      </w:tr>
      <w:tr>
        <w:tc>
          <w:tcPr>
            <w:tcW w:type="dxa" w:w="5040"/>
          </w:tcPr>
          <w:p>
            <w:r>
              <w:t>Assignment / specialist</w:t>
            </w:r>
          </w:p>
        </w:tc>
        <w:tc>
          <w:tcPr>
            <w:tcW w:type="dxa" w:w="5040"/>
          </w:tcPr>
          <w:p>
            <w:r>
              <w:t>Week 4 Assignment 2 — Emerging Technology Disruption Agent</w:t>
            </w:r>
          </w:p>
        </w:tc>
      </w:tr>
      <w:tr>
        <w:tc>
          <w:tcPr>
            <w:tcW w:type="dxa" w:w="5040"/>
          </w:tcPr>
          <w:p>
            <w:r>
              <w:t>Case / review date</w:t>
            </w:r>
          </w:p>
        </w:tc>
        <w:tc>
          <w:tcPr>
            <w:tcW w:type="dxa" w:w="5040"/>
          </w:tcPr>
          <w:p>
            <w:r>
              <w:t>Case as of October 13, 2026; execution timestamps recorded in validation logs</w:t>
            </w:r>
          </w:p>
        </w:tc>
      </w:tr>
      <w:tr>
        <w:tc>
          <w:tcPr>
            <w:tcW w:type="dxa" w:w="5040"/>
          </w:tcPr>
          <w:p>
            <w:r>
              <w:t>GitHub repository</w:t>
            </w:r>
          </w:p>
        </w:tc>
        <w:tc>
          <w:tcPr>
            <w:tcW w:type="dxa" w:w="5040"/>
          </w:tcPr>
          <w:p>
            <w:r>
              <w:t>https://github.com/zz10965-alt/emerging-technology-disruption-agent</w:t>
            </w:r>
          </w:p>
        </w:tc>
      </w:tr>
      <w:tr>
        <w:tc>
          <w:tcPr>
            <w:tcW w:type="dxa" w:w="5040"/>
          </w:tcPr>
          <w:p>
            <w:r>
              <w:t>Branch</w:t>
            </w:r>
          </w:p>
        </w:tc>
        <w:tc>
          <w:tcPr>
            <w:tcW w:type="dxa" w:w="5040"/>
          </w:tcPr>
          <w:p>
            <w:r>
              <w:t>assignment-2-disruption-agent</w:t>
            </w:r>
          </w:p>
        </w:tc>
      </w:tr>
      <w:tr>
        <w:tc>
          <w:tcPr>
            <w:tcW w:type="dxa" w:w="5040"/>
          </w:tcPr>
          <w:p>
            <w:r>
              <w:t>Commit / provenance</w:t>
            </w:r>
          </w:p>
        </w:tc>
        <w:tc>
          <w:tcPr>
            <w:tcW w:type="dxa" w:w="5040"/>
          </w:tcPr>
          <w:p>
            <w:r>
              <w:t>Received-run baseline: 3425092 (0.3-evidence-checked). Revised 0.4 source commit is recorded in the packaged submission_manifest.json; the containing Git history identifies the source revision</w:t>
            </w:r>
          </w:p>
        </w:tc>
      </w:tr>
      <w:tr>
        <w:tc>
          <w:tcPr>
            <w:tcW w:type="dxa" w:w="5040"/>
          </w:tcPr>
          <w:p>
            <w:r>
              <w:t>Frozen scaffold</w:t>
            </w:r>
          </w:p>
        </w:tc>
        <w:tc>
          <w:tcPr>
            <w:tcW w:type="dxa" w:w="5040"/>
          </w:tcPr>
          <w:p>
            <w:r>
              <w:t>MASY1800_ET_Agent_Scaffold_v1_0; all original manifest hashes preserved</w:t>
            </w:r>
          </w:p>
        </w:tc>
      </w:tr>
      <w:tr>
        <w:tc>
          <w:tcPr>
            <w:tcW w:type="dxa" w:w="5040"/>
          </w:tcPr>
          <w:p>
            <w:r>
              <w:t>Specialist version</w:t>
            </w:r>
          </w:p>
        </w:tc>
        <w:tc>
          <w:tcPr>
            <w:tcW w:type="dxa" w:w="5040"/>
          </w:tcPr>
          <w:p>
            <w:r>
              <w:t>0.4-reviewed; v0 replies identify 0.3-evidence-checked</w:t>
            </w:r>
          </w:p>
        </w:tc>
      </w:tr>
    </w:tbl>
    <w:p>
      <w:pPr>
        <w:pStyle w:val="Heading2"/>
      </w:pPr>
      <w:r>
        <w:t>B. Specialist Purpose and Context</w:t>
      </w:r>
    </w:p>
    <w:p>
      <w:pPr>
        <w:pStyle w:val="ListBullet"/>
      </w:pPr>
      <w:r>
        <w:t>Governing question: How much creative destruction could this technology cause to this business/industry, on what horizon, and what should management do?</w:t>
      </w:r>
    </w:p>
    <w:p>
      <w:pPr>
        <w:pStyle w:val="ListBullet"/>
      </w:pPr>
      <w:r>
        <w:t>ET: Human-assisted LLM public-source bilingual synthesis and draft recommendations, not autonomous fieldwork/negotiation.</w:t>
      </w:r>
    </w:p>
    <w:p>
      <w:pPr>
        <w:pStyle w:val="ListBullet"/>
      </w:pPr>
      <w:r>
        <w:t>Application: U.S. competitor/customer/channel hypotheses and reviewed research packages for Chinese home/lifestyle brands.</w:t>
      </w:r>
    </w:p>
    <w:p>
      <w:pPr>
        <w:pStyle w:val="ListBullet"/>
      </w:pPr>
      <w:r>
        <w:t>Organization/industry: Hypothetical small report-led market-entry consultancy. Contrasts: fieldwork/execution-led consultancy and an internal brand expansion team. All attributes are declared assumptions.</w:t>
      </w:r>
    </w:p>
    <w:p>
      <w:pPr>
        <w:pStyle w:val="ListBullet"/>
      </w:pPr>
      <w:r>
        <w:t>Adoption posture: Moderate/fast follower; reversible public/redacted-data pilot and human sign-off.</w:t>
      </w:r>
    </w:p>
    <w:p>
      <w:pPr>
        <w:pStyle w:val="ListBullet"/>
      </w:pPr>
      <w:r>
        <w:t>Risk context: Incorrect advice, false citations, cultural misinterpretation, confidential information and misleading customer/partner claims. Legal/tax/customs/product compliance excluded.</w:t>
      </w:r>
    </w:p>
    <w:p>
      <w:pPr>
        <w:pStyle w:val="ListBullet"/>
      </w:pPr>
      <w:r>
        <w:t>Decision/time: Next-12-month management response; near through October 13, 2027, mid through October 13, 2029, far thereafter. These are case vocabulary, not forecasts.</w:t>
      </w:r>
    </w:p>
    <w:p>
      <w:pPr>
        <w:pStyle w:val="Heading2"/>
      </w:pPr>
      <w:r>
        <w:t>C. Three-Level Finding</w:t>
      </w:r>
    </w:p>
    <w:p>
      <w:pPr>
        <w:pStyle w:val="ListBullet"/>
      </w:pPr>
      <w:r>
        <w:t>ET generally: All v0 general findings are exactly identical, appropriately preserving the limited drafting/synthesis capability, cross-sector evidence and uncertainty. Task assistance alone does not establish disruption.</w:t>
      </w:r>
    </w:p>
    <w:p>
      <w:pPr>
        <w:pStyle w:val="ListBullet"/>
      </w:pPr>
      <w:r>
        <w:t>Application: Generic report production is potentially easier/self-served; real consumer research remains distinct. No measured niche effect or net savings exists.</w:t>
      </w:r>
    </w:p>
    <w:p>
      <w:pPr>
        <w:pStyle w:val="ListBullet"/>
      </w:pPr>
      <w:r>
        <w:t>Organization-specific: A report seller may lose differentiation if equivalent self-service displaces its paid core; a fieldwork seller has different assumed capture mechanisms; a product brand does not sell reports. Actual pricing power and substitution are unknown.</w:t>
      </w:r>
    </w:p>
    <w:p>
      <w:pPr>
        <w:pStyle w:val="ListBullet"/>
      </w:pPr>
      <w:r>
        <w:t>Bounded implication: Measure accuracy, review/rework cost, client usefulness and willingness to pay in a reversible pilot before staffing/pricing decisions.</w:t>
      </w:r>
    </w:p>
    <w:p>
      <w:pPr>
        <w:pStyle w:val="ListBullet"/>
      </w:pPr>
      <w:r>
        <w:t>Confidence: Reasonable in the conceptual mechanism, low in firm-specific magnitude/timing. v0 High/mid-term primary placement is not endorsed as an evidenced forecast.</w:t>
      </w:r>
    </w:p>
    <w:p>
      <w:pPr>
        <w:pStyle w:val="ListBullet"/>
      </w:pPr>
      <w:r>
        <w:t>Change condition: Real client substitution/price evidence and fully loaded quality/cost measurements could justify a stronger threat rating or a sustaining interpretation.</w:t>
      </w:r>
    </w:p>
    <w:p>
      <w:pPr>
        <w:pStyle w:val="Heading2"/>
      </w:pPr>
      <w:r>
        <w:t>D. Evidence and Testing</w:t>
      </w:r>
    </w:p>
    <w:p>
      <w:pPr>
        <w:pStyle w:val="ListBullet"/>
      </w:pPr>
      <w:r>
        <w:t>Most important sources: C1 course Chapter 1 framework; S1 NBER WP 31161 November 2023 abstract/system/limitations; S3 SBA research-method guidance; S4 NIST AI 600-1 risk sections. HBS not read (403). Claims/limits and raw download metadata are in evidence/.</w:t>
      </w:r>
    </w:p>
    <w:p>
      <w:pPr>
        <w:pStyle w:val="ListBullet"/>
      </w:pPr>
      <w:r>
        <w:t>Primary result: Student-supplied actual v0 reports conditional High/mid-term; reviewer identifies unsupported timing/materiality. Course and full-schema checks pass; substantive review requires revision.</w:t>
      </w:r>
    </w:p>
    <w:p>
      <w:pPr>
        <w:pStyle w:val="ListBullet"/>
      </w:pPr>
      <w:r>
        <w:t>Contrasts / stable: All three general findings are byte-identical. Technology and evidence snapshot remain fixed. NBER 14% is not transferred as consulting ROI.</w:t>
      </w:r>
    </w:p>
    <w:p>
      <w:pPr>
        <w:pStyle w:val="ListBullet"/>
      </w:pPr>
      <w:r>
        <w:t>Contrasts / changed: Report-fee exposure versus internal product-sales economics is a valid contextual distinction. Reported High/Moderate/Low ladder is confounded by business-model versus workflow scope and not independently accepted.</w:t>
      </w:r>
    </w:p>
    <w:p>
      <w:pPr>
        <w:pStyle w:val="ListBullet"/>
      </w:pPr>
      <w:r>
        <w:t>Weakness: Exact primary High/mid-term passage and contrast scope drift preserved in critical_review.md; internal-brand counterargument copies consultancy client logic.</w:t>
      </w:r>
    </w:p>
    <w:p>
      <w:pPr>
        <w:pStyle w:val="ListBullet"/>
      </w:pPr>
      <w:r>
        <w:t>Revision: 0.4 adds evidence gates, supported-assessment/stress-case separation, fixed assessment object, honest impact-timing abstention, specific counterarguments and ledger/scope controls. Original instructions/metadata/packets retained in baselines/.</w:t>
      </w:r>
    </w:p>
    <w:p>
      <w:pPr>
        <w:pStyle w:val="ListBullet"/>
      </w:pPr>
      <w:r>
        <w:t>Retest: Local preflight/rebuild/preservation checks executed; no new ChatGPT response exists. Behavioral retest PENDING because this session has no separate interactive ChatGPT execution tool. retest_handoff.md gives exact packets and acceptance criteria. No static check is counted as behavioral success.</w:t>
      </w:r>
    </w:p>
    <w:p>
      <w:pPr>
        <w:pStyle w:val="ListBullet"/>
      </w:pPr>
      <w:r>
        <w:t>Remaining limitation: Hypothetical organization, no original interviews or measured commercial data; external ChatGPT run provenance is user-reported without full transcript/settings; revised behavior not yet demonstrated.</w:t>
      </w:r>
    </w:p>
    <w:p>
      <w:pPr>
        <w:pStyle w:val="Heading2"/>
      </w:pPr>
      <w:r>
        <w:t>E. Independent Judgment and Handoff</w:t>
      </w:r>
    </w:p>
    <w:p>
      <w:pPr>
        <w:pStyle w:val="ListBullet"/>
      </w:pPr>
      <w:r>
        <w:t>Credible enough for team consideration? Yes as a transparent reviewed candidate and failure example, not as validated decision support. Its schema reliability is demonstrated; calibrated threat/timing behavior is not yet demonstrated.</w:t>
      </w:r>
    </w:p>
    <w:p>
      <w:pPr>
        <w:pStyle w:val="ListBullet"/>
      </w:pPr>
      <w:r>
        <w:t>Team recommendation: Preserve the three context levels and common schema; pilot before irreversible action. Keep business-model threat distinct from process benefit and confidence distinct from severity. Do not aggregate categorical outputs as probabilities.</w:t>
      </w:r>
    </w:p>
    <w:p>
      <w:pPr>
        <w:pStyle w:val="ListBullet"/>
      </w:pPr>
      <w:r>
        <w:t>AI / verification note: Codex drafted specialist logic and checked original-source passages. The student provided external ChatGPT v0 returns. Codex independently preserved/validated/reviewed them and revised the agent. Sources were not re-opened by the v0 ChatGPT run; the current review used archived originals. No v1 responses or test success fabricated.</w:t>
      </w:r>
    </w:p>
    <w:p>
      <w:pPr>
        <w:pStyle w:val="ListBullet"/>
      </w:pPr>
      <w:r>
        <w:t>Personal deliverables: Half-page independent judgment and ≤100-word Craft Gained are English AI-assisted drafts for the student's review; they do not assert unperformed measurements or successful retest.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Assignment 2 | Review draft — behavioral retest pending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