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Brightspace submission checklist and package map</w:t>
      </w:r>
    </w:p>
    <w:p>
      <w:r>
        <w:t>The package contains the required English work products and actual test/revision evidence. This is a bounded tested candidate with retained weaknesses, not a claim that every analytical acceptance criterion passed. Personal drafts require student review; exact due date, accepted formats and upload arrangement must be checked in the actual course item.</w:t>
      </w:r>
    </w:p>
    <w:tbl>
      <w:tblPr>
        <w:tblStyle w:val="TableGrid"/>
        <w:tblW w:type="auto" w:w="0"/>
        <w:tblLook w:firstColumn="1" w:firstRow="1" w:lastColumn="0" w:lastRow="0" w:noHBand="0" w:noVBand="1" w:val="04A0"/>
      </w:tblPr>
      <w:tblGrid>
        <w:gridCol w:w="5040"/>
        <w:gridCol w:w="5040"/>
      </w:tblGrid>
      <w:tr>
        <w:tc>
          <w:tcPr>
            <w:tcW w:type="dxa" w:w="5040"/>
          </w:tcPr>
          <w:p>
            <w:r>
              <w:rPr>
                <w:b/>
              </w:rPr>
              <w:t>Requirement</w:t>
            </w:r>
          </w:p>
        </w:tc>
        <w:tc>
          <w:tcPr>
            <w:tcW w:type="dxa" w:w="5040"/>
          </w:tcPr>
          <w:p>
            <w:r>
              <w:rPr>
                <w:b/>
              </w:rPr>
              <w:t>Evidence / disposition</w:t>
            </w:r>
          </w:p>
        </w:tc>
      </w:tr>
      <w:tr>
        <w:tc>
          <w:tcPr>
            <w:tcW w:type="dxa" w:w="5040"/>
          </w:tcPr>
          <w:p>
            <w:r>
              <w:t>Instructor scaffold/common contracts/tools</w:t>
            </w:r>
          </w:p>
        </w:tc>
        <w:tc>
          <w:tcPr>
            <w:tcW w:type="dxa" w:w="5040"/>
          </w:tcPr>
          <w:p>
            <w:r>
              <w:t>Original package and frozen hashes verified; no core/tool changes</w:t>
            </w:r>
          </w:p>
        </w:tc>
      </w:tr>
      <w:tr>
        <w:tc>
          <w:tcPr>
            <w:tcW w:type="dxa" w:w="5040"/>
          </w:tcPr>
          <w:p>
            <w:r>
              <w:t>Specialist package</w:t>
            </w:r>
          </w:p>
        </w:tc>
        <w:tc>
          <w:tcPr>
            <w:tcW w:type="dxa" w:w="5040"/>
          </w:tcPr>
          <w:p>
            <w:r>
              <w:t>Template-derived 0.4-reviewed instructions, metadata, three cases, original/revised packets, source register and limitations</w:t>
            </w:r>
          </w:p>
        </w:tc>
      </w:tr>
      <w:tr>
        <w:tc>
          <w:tcPr>
            <w:tcW w:type="dxa" w:w="5040"/>
          </w:tcPr>
          <w:p>
            <w:r>
              <w:t>Business baseline, disruption lens, ledger, potency, severity/time, incumbent dilemma, bounded action</w:t>
            </w:r>
          </w:p>
        </w:tc>
        <w:tc>
          <w:tcPr>
            <w:tcW w:type="dxa" w:w="5040"/>
          </w:tcPr>
          <w:p>
            <w:r>
              <w:t>Implemented in specialist instructions and discussed in report. Actual model ledger/category-object compliance remains partial and is explicitly documented</w:t>
            </w:r>
          </w:p>
        </w:tc>
      </w:tr>
      <w:tr>
        <w:tc>
          <w:tcPr>
            <w:tcW w:type="dxa" w:w="5040"/>
          </w:tcPr>
          <w:p>
            <w:r>
              <w:t>Three context levels / same technology</w:t>
            </w:r>
          </w:p>
        </w:tc>
        <w:tc>
          <w:tcPr>
            <w:tcW w:type="dxa" w:w="5040"/>
          </w:tcPr>
          <w:p>
            <w:r>
              <w:t>Preserved in three cases and outputs; stable general finding and valid paid-value differences reviewed</w:t>
            </w:r>
          </w:p>
        </w:tc>
      </w:tr>
      <w:tr>
        <w:tc>
          <w:tcPr>
            <w:tcW w:type="dxa" w:w="5040"/>
          </w:tcPr>
          <w:p>
            <w:r>
              <w:t>Real primary/contrast tests</w:t>
            </w:r>
          </w:p>
        </w:tc>
        <w:tc>
          <w:tcPr>
            <w:tcW w:type="dxa" w:w="5040"/>
          </w:tcPr>
          <w:p>
            <w:r>
              <w:t>Three v0 plus three v1 original JSONs; both handoffs and hashes preserved</w:t>
            </w:r>
          </w:p>
        </w:tc>
      </w:tr>
      <w:tr>
        <w:tc>
          <w:tcPr>
            <w:tcW w:type="dxa" w:w="5040"/>
          </w:tcPr>
          <w:p>
            <w:r>
              <w:t>Genuine weakness, revision and retest</w:t>
            </w:r>
          </w:p>
        </w:tc>
        <w:tc>
          <w:tcPr>
            <w:tcW w:type="dxa" w:w="5040"/>
          </w:tcPr>
          <w:p>
            <w:r>
              <w:t>Exact v0 weaknesses, retained baseline, 0.4 revision and actual v1 outputs; correction/partial/non-correction table in retest assessment</w:t>
            </w:r>
          </w:p>
        </w:tc>
      </w:tr>
      <w:tr>
        <w:tc>
          <w:tcPr>
            <w:tcW w:type="dxa" w:w="5040"/>
          </w:tcPr>
          <w:p>
            <w:r>
              <w:t>Actual validation</w:t>
            </w:r>
          </w:p>
        </w:tc>
        <w:tc>
          <w:tcPr>
            <w:tcW w:type="dxa" w:w="5040"/>
          </w:tcPr>
          <w:p>
            <w:r>
              <w:t>Six instructor-validator passes and six full-schema passes; not factual/analytical guarantees</w:t>
            </w:r>
          </w:p>
        </w:tc>
      </w:tr>
      <w:tr>
        <w:tc>
          <w:tcPr>
            <w:tcW w:type="dxa" w:w="5040"/>
          </w:tcPr>
          <w:p>
            <w:r>
              <w:t>Runtime provenance</w:t>
            </w:r>
          </w:p>
        </w:tc>
        <w:tc>
          <w:tcPr>
            <w:tcW w:type="dxa" w:w="5040"/>
          </w:tcPr>
          <w:p>
            <w:r>
              <w:t>v1 generated in ONE ChatGPT conversation from revised specifications, NOT three independent fresh chats; settings/transcript not independently established</w:t>
            </w:r>
          </w:p>
        </w:tc>
      </w:tr>
      <w:tr>
        <w:tc>
          <w:tcPr>
            <w:tcW w:type="dxa" w:w="5040"/>
          </w:tcPr>
          <w:p>
            <w:r>
              <w:t>Agent Record</w:t>
            </w:r>
          </w:p>
        </w:tc>
        <w:tc>
          <w:tcPr>
            <w:tcW w:type="dxa" w:w="5040"/>
          </w:tcPr>
          <w:p>
            <w:r>
              <w:t>Completed actual-work record; student name/team must be entered</w:t>
            </w:r>
          </w:p>
        </w:tc>
      </w:tr>
      <w:tr>
        <w:tc>
          <w:tcPr>
            <w:tcW w:type="dxa" w:w="5040"/>
          </w:tcPr>
          <w:p>
            <w:r>
              <w:t>Primary-case report</w:t>
            </w:r>
          </w:p>
        </w:tc>
        <w:tc>
          <w:tcPr>
            <w:tcW w:type="dxa" w:w="5040"/>
          </w:tcPr>
          <w:p>
            <w:r>
              <w:t>Readable actual-v1 report with separate reviewer synthesis and limitations</w:t>
            </w:r>
          </w:p>
        </w:tc>
      </w:tr>
      <w:tr>
        <w:tc>
          <w:tcPr>
            <w:tcW w:type="dxa" w:w="5040"/>
          </w:tcPr>
          <w:p>
            <w:r>
              <w:t>Independent judgment</w:t>
            </w:r>
          </w:p>
        </w:tc>
        <w:tc>
          <w:tcPr>
            <w:tcW w:type="dxa" w:w="5040"/>
          </w:tcPr>
          <w:p>
            <w:r>
              <w:t>Short English personal-review draft, designed for ≤half page in supplied Word layout</w:t>
            </w:r>
          </w:p>
        </w:tc>
      </w:tr>
      <w:tr>
        <w:tc>
          <w:tcPr>
            <w:tcW w:type="dxa" w:w="5040"/>
          </w:tcPr>
          <w:p>
            <w:r>
              <w:t>AI use/verification</w:t>
            </w:r>
          </w:p>
        </w:tc>
        <w:tc>
          <w:tcPr>
            <w:tcW w:type="dxa" w:w="5040"/>
          </w:tcPr>
          <w:p>
            <w:r>
              <w:t>Original-source scope, user-provided model runs and independent review distinguished</w:t>
            </w:r>
          </w:p>
        </w:tc>
      </w:tr>
      <w:tr>
        <w:tc>
          <w:tcPr>
            <w:tcW w:type="dxa" w:w="5040"/>
          </w:tcPr>
          <w:p>
            <w:r>
              <w:t>Craft Gained</w:t>
            </w:r>
          </w:p>
        </w:tc>
        <w:tc>
          <w:tcPr>
            <w:tcW w:type="dxa" w:w="5040"/>
          </w:tcPr>
          <w:p>
            <w:r>
              <w:t>≤100-word English personal-review draft; word count in final QA log</w:t>
            </w:r>
          </w:p>
        </w:tc>
      </w:tr>
      <w:tr>
        <w:tc>
          <w:tcPr>
            <w:tcW w:type="dxa" w:w="5040"/>
          </w:tcPr>
          <w:p>
            <w:r>
              <w:t>Team handoff</w:t>
            </w:r>
          </w:p>
        </w:tc>
        <w:tc>
          <w:tcPr>
            <w:tcW w:type="dxa" w:w="5040"/>
          </w:tcPr>
          <w:p>
            <w:r>
              <w:t>Recommendation, escalation, integration boundary and remaining defects recorded</w:t>
            </w:r>
          </w:p>
        </w:tc>
      </w:tr>
      <w:tr>
        <w:tc>
          <w:tcPr>
            <w:tcW w:type="dxa" w:w="5040"/>
          </w:tcPr>
          <w:p>
            <w:r>
              <w:t>Repository/branch/commit</w:t>
            </w:r>
          </w:p>
        </w:tc>
        <w:tc>
          <w:tcPr>
            <w:tcW w:type="dxa" w:w="5040"/>
          </w:tcPr>
          <w:p>
            <w:r>
              <w:t>Exact final source SHA in package manifest; packaging commit may differ</w:t>
            </w:r>
          </w:p>
        </w:tc>
      </w:tr>
    </w:tbl>
    <w:p>
      <w:pPr>
        <w:pStyle w:val="Heading2"/>
      </w:pPr>
      <w:r>
        <w:t>What to upload</w:t>
      </w:r>
    </w:p>
    <w:p>
      <w:r>
        <w:t>The final ZIP places the required documents at its top level:</w:t>
      </w:r>
    </w:p>
    <w:p>
      <w:pPr>
        <w:pStyle w:val="ListBullet"/>
      </w:pPr>
      <w:r>
        <w:t>01_Agent_Record.docx</w:t>
      </w:r>
    </w:p>
    <w:p>
      <w:pPr>
        <w:pStyle w:val="ListBullet"/>
      </w:pPr>
      <w:r>
        <w:t>02_Primary_Case_Output_Report.docx</w:t>
      </w:r>
    </w:p>
    <w:p>
      <w:pPr>
        <w:pStyle w:val="ListBullet"/>
      </w:pPr>
      <w:r>
        <w:t>03_Independent_Professional_Judgment_Draft.docx</w:t>
      </w:r>
    </w:p>
    <w:p>
      <w:pPr>
        <w:pStyle w:val="ListBullet"/>
      </w:pPr>
      <w:r>
        <w:t>04_AI_Use_and_Verification_Note.docx</w:t>
      </w:r>
    </w:p>
    <w:p>
      <w:pPr>
        <w:pStyle w:val="ListBullet"/>
      </w:pPr>
      <w:r>
        <w:t>05_Craft_Gained_Draft.docx</w:t>
      </w:r>
    </w:p>
    <w:p>
      <w:pPr>
        <w:pStyle w:val="ListBullet"/>
      </w:pPr>
      <w:r>
        <w:t>06_Team_Handoff.docx</w:t>
      </w:r>
    </w:p>
    <w:p>
      <w:pPr>
        <w:pStyle w:val="ListBullet"/>
      </w:pPr>
      <w:r>
        <w:t>07_Submission_Checklist.docx</w:t>
      </w:r>
    </w:p>
    <w:p>
      <w:pPr>
        <w:pStyle w:val="ListBullet"/>
      </w:pPr>
      <w:r>
        <w:t>Agent_Package/: full preserved scaffold plus specialist/test/evidence records.</w:t>
      </w:r>
    </w:p>
    <w:p>
      <w:pPr>
        <w:pStyle w:val="ListBullet"/>
      </w:pPr>
      <w:r>
        <w:t>submission_manifest.json: source commit, status, file hashes and runtime caveat.</w:t>
      </w:r>
    </w:p>
    <w:p>
      <w:r>
        <w:t>Markdown counterparts are retained in the agent's deliverables folder. The retest inputs alone are not the assignment. Historical review/retest ZIPs in GitHub are superseded by Assignment_2_Brightspace_Submission.zip.</w:t>
      </w:r>
    </w:p>
    <w:p>
      <w:pPr>
        <w:pStyle w:val="Heading2"/>
      </w:pPr>
      <w:r>
        <w:t>Final student actions</w:t>
      </w:r>
    </w:p>
    <w:p>
      <w:r>
        <w:t>1. Review the independent judgment and Craft Gained for personal accuracy; revise wording if necessary. Enter student/team identification in the Agent Record and any required course fields.</w:t>
      </w:r>
    </w:p>
    <w:p>
      <w:r>
        <w:t>2. Open the actual Brightspace Assignment 2 item and check its due date, format/file-count rules and current instructions. Those platform details were not included in the supplied documents and are not invented here.</w:t>
      </w:r>
    </w:p>
    <w:p>
      <w:r>
        <w:t>3. If the item accepts a single complete ZIP, use the final submission ZIP after personal edits. If it requests separate documents, extract and upload the named files plus the Agent Package as directed. Retain all raw v0/v1 evidence and residual limitations.</w:t>
      </w:r>
    </w:p>
    <w:p>
      <w:r>
        <w:t>4. Confirm uploaded filenames/previews in Brightspace and complete the site's submission action; save its receipt. This agent has not uploaded or submitted anything to Brightspace.</w:t>
      </w:r>
    </w:p>
    <w:p>
      <w:r>
        <w:t>Future fresh-session replication is recommended to improve reliability; no such independent execution is claimed or required to be pretended complete. Retain failed/partial criteria in the submission rather than hiding them.</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Assignment 2 | Source-linked analysis and test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