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Primary-Case Agent Output Report</w:t>
      </w:r>
    </w:p>
    <w:p>
      <w:r>
        <w:t>Tested agent: Emerging Technology Disruption Agent, 0.4-reviewed. Case as of: October 13, 2026. Based on the preserved actual v1 response, with clearly separated reviewer interpretation. The three v1 case responses were generated in one ChatGPT conversation, not three independent fresh chats.</w:t>
      </w:r>
    </w:p>
    <w:p>
      <w:pPr>
        <w:pStyle w:val="Heading2"/>
      </w:pPr>
      <w:r>
        <w:t>Case and management decision</w:t>
      </w:r>
    </w:p>
    <w:p>
      <w:r>
        <w:t>The primary case is a hypothetical small bilingual consultancy helping Chinese home/lifestyle consumer brands enter the United States. It sells fixed-fee public-source research packages through referrals/direct outreach. Junior desk research, bilingual synthesis and senior review are material activities. These are declared scenario assumptions, not observations of an identified company.</w:t>
      </w:r>
    </w:p>
    <w:p>
      <w:r>
        <w:t>The proposed application is human-reviewed LLM competitor/customer/channel research and draft recommendations. The management question is how to respond over the next 12 months. The technology does not itself provide authentic U.S. consumer interviews, verified local observations or channel execution. Legal, tax, customs and product-compliance advice are excluded. No actual interviews, client price tests, consultancy productivity measurements or operating financials were collected.</w:t>
      </w:r>
    </w:p>
    <w:p>
      <w:pPr>
        <w:pStyle w:val="Heading2"/>
      </w:pPr>
      <w:r>
        <w:t>Actual v1 conclusion</w:t>
      </w:r>
    </w:p>
    <w:p>
      <w:r>
        <w:t>The agent labels the primary case High conditional stress exposure, while stating that observed potency is Undetermined—insufficient customer substitution, fees, cost and margin evidence. It explicitly leaves material-impact timing undetermined. High is therefore an adverse scenario if reliable client self-service or competing offers displace the firm's core paid reports, not an established current threat rating or probability.</w:t>
      </w:r>
    </w:p>
    <w:p>
      <w:r>
        <w:t>This improves on v0, which supplied conditional High × Mid-term and a 2027–2029 window without arrival evidence. The v1 makes clear that those calendar bins are planning conventions, not forecasts. A hypothetical High/mid cell would imply prepare/pilot under Chapter 1, but it is not an evidenced current placement.</w:t>
      </w:r>
    </w:p>
    <w:p>
      <w:r>
        <w:t>Reviewer judgment: The correction is material and credible for this response. It supports learning about exposure without pretending to know when fee erosion will occur. It does not demonstrate actual consulting-market disruption or prove the revised instructions will work reliably in new independent sessions.</w:t>
      </w:r>
    </w:p>
    <w:p>
      <w:pPr>
        <w:pStyle w:val="Heading2"/>
      </w:pPr>
      <w:r>
        <w:t>Three levels of analysis</w:t>
      </w:r>
    </w:p>
    <w:p>
      <w:pPr>
        <w:pStyle w:val="ListBullet"/>
      </w:pPr>
      <w:r>
        <w:t>ET generally: Human-assisted LLM synthesis/drafting is plausible, with confabulation, privacy and overreliance risks. Task improvement alone is not Christensen-style disruption; a low-end/new-market foothold and movement into incumbent demand would need evidence.</w:t>
      </w:r>
    </w:p>
    <w:p>
      <w:pPr>
        <w:pStyle w:val="ListBullet"/>
      </w:pPr>
      <w:r>
        <w:t>For this application: Public competitor scans and bilingual briefs may become easier to produce, but authentic consumer validation and source verification remain distinct. Net cost after review/rework is unknown.</w:t>
      </w:r>
    </w:p>
    <w:p>
      <w:pPr>
        <w:pStyle w:val="ListBullet"/>
      </w:pPr>
      <w:r>
        <w:t>For this organization: Selling generic report content may expose the paid core to self-service substitution. Trusted judgment, verification or local insight could sustain fees, but neither their pricing power nor actual client switching is measured. The opportunity to serve smaller underserved brands is conditional on demand and viable economics.</w:t>
      </w:r>
    </w:p>
    <w:p>
      <w:pPr>
        <w:pStyle w:val="Heading2"/>
      </w:pPr>
      <w:r>
        <w:t>Business baseline and creative-destruction ledger</w:t>
      </w:r>
    </w:p>
    <w:p>
      <w:r>
        <w:t>The assumed customers are Chinese home/lifestyle brands; the value proposition is organized bilingual U.S. market-entry research; pricing is project-based; channels are referrals/outreach; labor is analyst assembly plus senior review; assets/capabilities include synthesis and judgment, with limited proprietary U.S. evidence/channel access. Partner value and competitive defensibility are unknown.</w:t>
      </w:r>
    </w:p>
    <w:p>
      <w:r>
        <w:t>The table is a reviewer-organized synthesis of the case and actual responses, not additional JSON model output or observed results. It makes underdeveloped ledger elements explicit without modifying the raw response.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Element / stakeholder</w:t>
            </w:r>
          </w:p>
        </w:tc>
        <w:tc>
          <w:tcPr>
            <w:tcW w:type="dxa" w:w="2520"/>
          </w:tcPr>
          <w:p>
            <w:r>
              <w:rPr>
                <w:b/>
              </w:rPr>
              <w:t>Creation or opportunity</w:t>
            </w:r>
          </w:p>
        </w:tc>
        <w:tc>
          <w:tcPr>
            <w:tcW w:type="dxa" w:w="2520"/>
          </w:tcPr>
          <w:p>
            <w:r>
              <w:rPr>
                <w:b/>
              </w:rPr>
              <w:t>Displacement or exposure</w:t>
            </w:r>
          </w:p>
        </w:tc>
        <w:tc>
          <w:tcPr>
            <w:tcW w:type="dxa" w:w="2520"/>
          </w:tcPr>
          <w:p>
            <w:r>
              <w:rPr>
                <w:b/>
              </w:rPr>
              <w:t>Mechanism, basis and timing</w:t>
            </w:r>
          </w:p>
        </w:tc>
      </w:tr>
      <w:tr>
        <w:tc>
          <w:tcPr>
            <w:tcW w:type="dxa" w:w="2520"/>
          </w:tcPr>
          <w:p>
            <w:r>
              <w:t>Report service / clients and firm</w:t>
            </w:r>
          </w:p>
        </w:tc>
        <w:tc>
          <w:tcPr>
            <w:tcW w:type="dxa" w:w="2520"/>
          </w:tcPr>
          <w:p>
            <w:r>
              <w:t>Faster drafts; possible lower-cost entry tier</w:t>
            </w:r>
          </w:p>
        </w:tc>
        <w:tc>
          <w:tcPr>
            <w:tcW w:type="dxa" w:w="2520"/>
          </w:tcPr>
          <w:p>
            <w:r>
              <w:t>Generic report differentiation and fees</w:t>
            </w:r>
          </w:p>
        </w:tc>
        <w:tc>
          <w:tcPr>
            <w:tcW w:type="dxa" w:w="2520"/>
          </w:tcPr>
          <w:p>
            <w:r>
              <w:t>Conditional self-service/entrant substitution; A1 assumptions and S1 analogy; material timing unknown</w:t>
            </w:r>
          </w:p>
        </w:tc>
      </w:tr>
      <w:tr>
        <w:tc>
          <w:tcPr>
            <w:tcW w:type="dxa" w:w="2520"/>
          </w:tcPr>
          <w:p>
            <w:r>
              <w:t>Process/cost / analysts and reviewers</w:t>
            </w:r>
          </w:p>
        </w:tc>
        <w:tc>
          <w:tcPr>
            <w:tcW w:type="dxa" w:w="2520"/>
          </w:tcPr>
          <w:p>
            <w:r>
              <w:t>Repeatable research preparation</w:t>
            </w:r>
          </w:p>
        </w:tc>
        <w:tc>
          <w:tcPr>
            <w:tcW w:type="dxa" w:w="2520"/>
          </w:tcPr>
          <w:p>
            <w:r>
              <w:t>Manual assembly effort and utilization incentives</w:t>
            </w:r>
          </w:p>
        </w:tc>
        <w:tc>
          <w:tcPr>
            <w:tcW w:type="dxa" w:w="2520"/>
          </w:tcPr>
          <w:p>
            <w:r>
              <w:t>Assistance hypothesis; source checking/rework may offset savings; proposed near-term pilot, not observed impact</w:t>
            </w:r>
          </w:p>
        </w:tc>
      </w:tr>
      <w:tr>
        <w:tc>
          <w:tcPr>
            <w:tcW w:type="dxa" w:w="2520"/>
          </w:tcPr>
          <w:p>
            <w:r>
              <w:t>Capabilities/assets / principals</w:t>
            </w:r>
          </w:p>
        </w:tc>
        <w:tc>
          <w:tcPr>
            <w:tcW w:type="dxa" w:w="2520"/>
          </w:tcPr>
          <w:p>
            <w:r>
              <w:t>Auditable evidence workflow and validated research design</w:t>
            </w:r>
          </w:p>
        </w:tc>
        <w:tc>
          <w:tcPr>
            <w:tcW w:type="dxa" w:w="2520"/>
          </w:tcPr>
          <w:p>
            <w:r>
              <w:t>Bilingual synthesis alone may become less scarce</w:t>
            </w:r>
          </w:p>
        </w:tc>
        <w:tc>
          <w:tcPr>
            <w:tcW w:type="dxa" w:w="2520"/>
          </w:tcPr>
          <w:p>
            <w:r>
              <w:t>Scenario inference; no proprietary advantage measured; timing unknown</w:t>
            </w:r>
          </w:p>
        </w:tc>
      </w:tr>
      <w:tr>
        <w:tc>
          <w:tcPr>
            <w:tcW w:type="dxa" w:w="2520"/>
          </w:tcPr>
          <w:p>
            <w:r>
              <w:t>Intermediaries/partners / client and firm</w:t>
            </w:r>
          </w:p>
        </w:tc>
        <w:tc>
          <w:tcPr>
            <w:tcW w:type="dxa" w:w="2520"/>
          </w:tcPr>
          <w:p>
            <w:r>
              <w:t>Better briefs may aid partner discussions</w:t>
            </w:r>
          </w:p>
        </w:tc>
        <w:tc>
          <w:tcPr>
            <w:tcW w:type="dxa" w:w="2520"/>
          </w:tcPr>
          <w:p>
            <w:r>
              <w:t>Brokerage could be bypassed only if equivalent access is available</w:t>
            </w:r>
          </w:p>
        </w:tc>
        <w:tc>
          <w:tcPr>
            <w:tcW w:type="dxa" w:w="2520"/>
          </w:tcPr>
          <w:p>
            <w:r>
              <w:t>No partner-substitution evidence; bounded tool does not execute diligence; timing unknown</w:t>
            </w:r>
          </w:p>
        </w:tc>
      </w:tr>
      <w:tr>
        <w:tc>
          <w:tcPr>
            <w:tcW w:type="dxa" w:w="2520"/>
          </w:tcPr>
          <w:p>
            <w:r>
              <w:t>Revenue/pricing / firm and smaller brands</w:t>
            </w:r>
          </w:p>
        </w:tc>
        <w:tc>
          <w:tcPr>
            <w:tcW w:type="dxa" w:w="2520"/>
          </w:tcPr>
          <w:p>
            <w:r>
              <w:t>Potential viable entry tier for previously unserved buyers</w:t>
            </w:r>
          </w:p>
        </w:tc>
        <w:tc>
          <w:tcPr>
            <w:tcW w:type="dxa" w:w="2520"/>
          </w:tcPr>
          <w:p>
            <w:r>
              <w:t>Cannibalization of higher-priced generic packages</w:t>
            </w:r>
          </w:p>
        </w:tc>
        <w:tc>
          <w:tcPr>
            <w:tcW w:type="dxa" w:w="2520"/>
          </w:tcPr>
          <w:p>
            <w:r>
              <w:t>Demand, fees and margins unknown; no actual foothold observed</w:t>
            </w:r>
          </w:p>
        </w:tc>
      </w:tr>
      <w:tr>
        <w:tc>
          <w:tcPr>
            <w:tcW w:type="dxa" w:w="2520"/>
          </w:tcPr>
          <w:p>
            <w:r>
              <w:t>Customer validation/trust / participants and clients</w:t>
            </w:r>
          </w:p>
        </w:tc>
        <w:tc>
          <w:tcPr>
            <w:tcW w:type="dxa" w:w="2520"/>
          </w:tcPr>
          <w:p>
            <w:r>
              <w:t>Better hypotheses for real interviews</w:t>
            </w:r>
          </w:p>
        </w:tc>
        <w:tc>
          <w:tcPr>
            <w:tcW w:type="dxa" w:w="2520"/>
          </w:tcPr>
          <w:p>
            <w:r>
              <w:t>Simulated research/unsupported advice can undermine decisions</w:t>
            </w:r>
          </w:p>
        </w:tc>
        <w:tc>
          <w:tcPr>
            <w:tcW w:type="dxa" w:w="2520"/>
          </w:tcPr>
          <w:p>
            <w:r>
              <w:t>SBA method distinction and NIST risk guidance; immediate controls needed; no measured loss or premium</w:t>
            </w:r>
          </w:p>
        </w:tc>
      </w:tr>
    </w:tbl>
    <w:p>
      <w:pPr>
        <w:pStyle w:val="Heading2"/>
      </w:pPr>
      <w:r>
        <w:t>Severity/time matrix and management action</w:t>
      </w:r>
    </w:p>
    <w:p>
      <w:r>
        <w:t>Chapter 1 Figure 1.8 maps High/mid-term to prepare/pilot, Moderate/near-term to pilot/partner and Low/near-term to sustaining absorption. V1 correctly does not claim a substantiated impact date. Its hypothetical matrix example is only a scenario; the present recommendation is justified by reversible learning value.</w:t>
      </w:r>
    </w:p>
    <w:p>
      <w:r>
        <w:t>The actual primary v1 proposes a 6–8-week public-data pilot authorized by the principal, comparing AI-assisted and existing workflows on provenance accuracy, review/rework hours, turnaround, client usefulness and fully loaded cost. The pilot was not performed. The duration is a proposed management schedule, not market-impact timing; acceptance/stop thresholds and sample/denominator must be set from a measured baseline before kickoff. No staffing cuts, price promises or client entry commitments should follow from the labels alone.</w:t>
      </w:r>
    </w:p>
    <w:p>
      <w:pPr>
        <w:pStyle w:val="Heading2"/>
      </w:pPr>
      <w:r>
        <w:t>Incumbent dilemma and reassessment</w:t>
      </w:r>
    </w:p>
    <w:p>
      <w:r>
        <w:t>The firm may need to stop protecting hours spent assembling generic reports and invest in auditable synthesis and genuinely validated insight. Moving too early risks uncompensated checking or premature fee cannibalization; waiting risks losing clients to acceptable substitutes. Neither outcome is measured. Human source checks and approved public data remain necessary, with controls themselves tested rather than presumed effective.</w:t>
      </w:r>
    </w:p>
    <w:p>
      <w:r>
        <w:t>The principal should review client interviews and lost bids attributed to self-service, with a defined denominator, sample minimum and calibrated threshold. Source freshness, material errors, rework and confidentiality incidents should be reviewed at pilot checkpoints. A material breach pauses use pending human review. These are proposed controls, not observed triggers.</w:t>
      </w:r>
    </w:p>
    <w:p>
      <w:pPr>
        <w:pStyle w:val="Heading2"/>
      </w:pPr>
      <w:r>
        <w:t>Context comparison, testing and remaining weaknesses</w:t>
      </w:r>
    </w:p>
    <w:p>
      <w:r>
        <w:t>All six received outputs (three v0, three v1) passed the instructor validator and full JSON Schema checks; raw bytes/hashes are preserved. Within each version, the general findings are exactly identical. A useful contextual change is whose paid value is exposed: reports in the primary, fieldwork/execution in contrast 1, and physical goods in contrast 2.</w:t>
      </w:r>
    </w:p>
    <w:p>
      <w:r>
        <w:t>V1 improves uncertainty and source-version discipline. However, contrast 1 still labels Moderate ancillary task/service exposure alongside an undetermined organization-wide threat; contrast 2 retains an illustrative process-update cell. The category ladder is not a clean like-for-like threat comparison. All three contrary-evidence arrays remain identical; the internal-brand governance section is tailored, but its dedicated counterargument field is not. Ledger coverage is improved but not exhaustive. These are preserved limitations, not silently repaired model outputs.</w:t>
      </w:r>
    </w:p>
    <w:p>
      <w:r>
        <w:t>The handoff reports one shared ChatGPT conversation. Carryover/anchoring, unrecorded settings and absence of a full witnessed transcript limit independence and reproducibility; improvement cannot be attributed solely to the revision. Version 0.4 is retained as the actual tested candidate. A fresh-session replication and targeted field/ledger refinement would strengthen future use.</w:t>
      </w:r>
    </w:p>
    <w:p>
      <w:pPr>
        <w:pStyle w:val="Heading2"/>
      </w:pPr>
      <w:r>
        <w:t>Evidence</w:t>
      </w:r>
    </w:p>
    <w:p>
      <w:r>
        <w:t>S1: Brynjolfsson, Li and Raymond, *Generative AI at Work*, NBER WP 31161, November 2023 revision: 5,179 support agents and reported mean 14% higher issues resolved/hour, not consulting ROI; no established long-run demand or universal generalization. https://www.nber.org/papers/w31161</w:t>
      </w:r>
    </w:p>
    <w:p>
      <w:r>
        <w:t>S3: U.S. SBA, market-research guidance, undated, source snapshot October 13, 2026: existing sources differ from direct consumer research; no evidence of a local-service moat. https://www.sba.gov/counseling/plan-your-business/#market-research</w:t>
      </w:r>
    </w:p>
    <w:p>
      <w:r>
        <w:t>S4: NIST AI 600-1, July 2024, sections 2.2, 2.4 and 2.7: confabulation, privacy and human overreliance. https://nvlpubs.nist.gov/nistpubs/ai/NIST.AI.600-1.pdf</w:t>
      </w:r>
    </w:p>
    <w:p>
      <w:r>
        <w:t>C1: Fortino, supplied Chapter 1 August 2026 draft, sections 1.2–1.7 and Figure 1.8, governing framework only. HBS was inaccessible and is excluded. The source register records inspected passages/provenance; the model runs did not independently verify new web evidence.</w:t>
      </w:r>
    </w:p>
    <w:sectPr w:rsidR="00FC693F" w:rsidRPr="0006063C" w:rsidSect="00034616">
      <w:head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Assignment 2 | Source-linked analysis and test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