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Professional Judgment — draft for student review</w:t>
      </w:r>
    </w:p>
    <w:p>
      <w:r>
        <w:t>I judge generative AI to be a credible conditional exposure for a report-led China-to-U.S. market-entry consultancy, but not a demonstrated High threat arriving in 2027–2029. The retest improved the agent by separating a High stress scenario from unknown realized potency and timing. Generic reports may lose differentiation if clients accept reliable substitutes; verified insight and accountability may retain value, but neither substitution nor pricing power is measured.</w:t>
      </w:r>
    </w:p>
    <w:p>
      <w:r>
        <w:t>I recommend a reversible public-data pilot now, measuring source accuracy, total drafting plus review cost, client usefulness and willingness to pay. Pilot timing is a management choice, not a disruption forecast. I would not cut staff or change fee promises without credible quality and commercial evidence.</w:t>
      </w:r>
    </w:p>
    <w:p>
      <w:r>
        <w:t>The report seller, fieldwork seller and internal product brand face different value-capture mechanisms. However, ancillary workflow ratings still partly contaminate the comparison, and copied counterarguments remain. The three retest outputs came from one ChatGPT conversation, limiting independence. I consider version 0.4 suitable for bounded team discussion with these limits, not autonomous decisions or validated market prediction.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Assignment 2 | Source-linked analysis and test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