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Use and Verification Note</w:t>
      </w:r>
    </w:p>
    <w:p>
      <w:r>
        <w:t>ChatGPT/Codex helped translate course concepts into specialist instructions, design explicit hypothetical cases, check original sources, generate prompt packets and draft English reports. The student supplied three initial ChatGPT outputs and three revised outputs. The v1 handoff explicitly describes generation in ONE ChatGPT conversation from revised packet specifications, not three independent fresh-chat executions. Codex did not witness the model sessions or an API call; exact transcript/settings and literal full-packet execution are not independently established.</w:t>
      </w:r>
    </w:p>
    <w:p>
      <w:r>
        <w:t>All six JSON outputs and both handoff notes were preserved byte-for-byte, with archive/file SHA-256 manifests. Codex independently ran the instructor validator and full Draft 2020-12 schema checks: all six passed structure checks. The common scaffold and original file hashes remain intact. Structural success was not treated as analytical correctness.</w:t>
      </w:r>
    </w:p>
    <w:p>
      <w:r>
        <w:t>The source basis was checked against original NBER WP 31161 November 2023 passages (abstract, system and limitations), SBA market-research guidance, and NIST AI 600-1 sections 2.2, 2.4 and 2.7. Subsequent output reviews used these archived originals, not a new web search or model memory. NBER's 14% customer-support result is not consulting savings. An older revision differs in its novice-worker statistic; the evidence freezes the November version. HBS returned 403 and is excluded. The course chapter provides the conceptual framework, not independently verified current market statistics.</w:t>
      </w:r>
    </w:p>
    <w:p>
      <w:r>
        <w:t>The genuine v0 weaknesses were unsupported impact timing and inconsistent assessment objects, plus a copied internal-brand counterargument. Exact excerpts and old instructions/packets were retained; only student-editable instructions were revised to 0.4. Actual v1 outputs improve timing abstention, conditionality and source precision. Scope drift is only partly corrected and dedicated counterargument arrays remain identical. These residual failures are documented, not edited out of raw JSON. Same-conversation anchoring and unrecorded settings prevent causal attribution of improvement solely to the revision.</w:t>
      </w:r>
    </w:p>
    <w:p>
      <w:r>
        <w:t>No customer interviews, prices, margins, quantified consulting savings, field tests or pilot success were invented. Organizations are hypothetical and impact remains uncertain. Reports distinguish actual model returns, source evidence, reviewer synthesis, assumptions and proposed controls. Independent judgment and Craft Gained remain AI-assisted drafts for the student's personal review. Final package preparation does not establish real-world effectiveness or publication of a new cloud snapshot.</w:t>
      </w:r>
    </w:p>
    <w:sectPr w:rsidR="00FC693F" w:rsidRPr="0006063C" w:rsidSect="00034616">
      <w:head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Assignment 2 | Source-linked analysis and test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