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Craft Gained — draft for student review</w:t>
      </w:r>
    </w:p>
    <w:p>
      <w:r>
        <w:t>I learned that changing ratings across cases is not enough to demonstrate context sensitivity. Our initial outputs mixed revenue-model threats with workflow benefits and treated planning windows like impact evidence. The retest improved uncertainty handling, but repeated counterarguments and a shared conversation limited the result. Next time, I will hold the assessment object constant, separate a pilot schedule from a disruption forecast, and preserve unsuccessful corrections. A useful agent must expose where its judgment stops, even when its JSON validates and its prose sounds convincing.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Assignment 2 | Source-linked analysis and test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