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Handoff — tested candidate with retained limitations</w:t>
      </w:r>
    </w:p>
    <w:p>
      <w:pPr>
        <w:pStyle w:val="ListBullet"/>
      </w:pPr>
      <w:r>
        <w:t>Specialist/version: Emerging Technology Disruption Agent, 0.4-reviewed, common input/output contract unchanged. Preserve this tested version rather than silently inserting an untested fix.</w:t>
      </w:r>
    </w:p>
    <w:p>
      <w:pPr>
        <w:pStyle w:val="ListBullet"/>
      </w:pPr>
      <w:r>
        <w:t>Case: Hypothetical bilingual consultancy selling U.S. market-entry research to Chinese home/lifestyle brands. Contrasts: fieldwork/execution-led consultancy and internal brand expansion team; same bounded LLM capability and supplied evidence snapshot.</w:t>
      </w:r>
    </w:p>
    <w:p>
      <w:pPr>
        <w:pStyle w:val="ListBullet"/>
      </w:pPr>
      <w:r>
        <w:t>Most exposed element: Generic paid report content, conditional on equivalent client self-service/entrants actually replacing demand. No observed fees, margins or switching.</w:t>
      </w:r>
    </w:p>
    <w:p>
      <w:pPr>
        <w:pStyle w:val="ListBullet"/>
      </w:pPr>
      <w:r>
        <w:t>Create versus destroy: Potential affordable research tier and faster preparation versus report commoditization/cannibalization. Review/rework and fieldwork costs can offset gains; no net benefit measured.</w:t>
      </w:r>
    </w:p>
    <w:p>
      <w:pPr>
        <w:pStyle w:val="ListBullet"/>
      </w:pPr>
      <w:r>
        <w:t>Potency/time: Primary v1: High conditional stress exposure, actual potency/severity and business-impact date undetermined. Do not pass its illustrative High/mid cell to an orchestrator as a measured forecast.</w:t>
      </w:r>
    </w:p>
    <w:p>
      <w:pPr>
        <w:pStyle w:val="ListBullet"/>
      </w:pPr>
      <w:r>
        <w:t>Management response: Principal's reversible 6–8-week public-data pilot; measure source-linked accuracy, all-in review cost and client value. Calibrate thresholds before execution. No pilot, staffing change, price reduction or client launch was actually performed.</w:t>
      </w:r>
    </w:p>
    <w:p>
      <w:pPr>
        <w:pStyle w:val="ListBullet"/>
      </w:pPr>
      <w:r>
        <w:t>Reassessment: Document real substitution/fee pressure and source-quality incidents using defined denominators and review periods. Controls are proposals, not established market thresholds.</w:t>
      </w:r>
    </w:p>
    <w:p>
      <w:pPr>
        <w:pStyle w:val="ListBullet"/>
      </w:pPr>
      <w:r>
        <w:t>Actual testing: Three v0 and three v1 responses; all pass course/full-schema checks. V1 was produced in one ChatGPT conversation, NOT three independent fresh chats. Handoff/session provenance is user-reported, not a witnessed Codex API call.</w:t>
      </w:r>
    </w:p>
    <w:p>
      <w:pPr>
        <w:pStyle w:val="ListBullet"/>
      </w:pPr>
      <w:r>
        <w:t>Observed improvement: Unsupported dated impact placement deferred; supported appraisal separated from stress scenario; NBER revision/cross-sector boundary explicit.</w:t>
      </w:r>
    </w:p>
    <w:p>
      <w:pPr>
        <w:pStyle w:val="ListBullet"/>
      </w:pPr>
      <w:r>
        <w:t>Remaining weakness: Ancillary task/service labels still partly mix with organization-wide threat; contrary-evidence arrays identical; ledger coverage incomplete. Same-conversation anchoring limits independence. Reviewer synthesis must not be confused with additional model outputs.</w:t>
      </w:r>
    </w:p>
    <w:p>
      <w:pPr>
        <w:pStyle w:val="ListBullet"/>
      </w:pPr>
      <w:r>
        <w:t>Integration: Preserve confidence, assumptions, abstention, evidence dates and scenario scope. Categories are not probabilities or commensurate cross-specialist scores. No legal/tax/customs/product-compliance or final adoption authority.</w:t>
      </w:r>
    </w:p>
    <w:p>
      <w:pPr>
        <w:pStyle w:val="ListBullet"/>
      </w:pPr>
      <w:r>
        <w:t>Next improvement: Fresh-session replication, organization-specific counterarguments and more complete ledgers using observed client/cost evidence. These are future recommendations, not required tests claimed as completed.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Assignment 2 | Source-linked analysis and test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