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Specialist Agent Record</w:t>
      </w:r>
    </w:p>
    <w:p>
      <w:pPr>
        <w:pStyle w:val="Heading2"/>
      </w:pPr>
      <w:r>
        <w:t>A. Agent and Version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5040"/>
          </w:tcPr>
          <w:p>
            <w:r>
              <w:rPr>
                <w:b/>
              </w:rPr>
              <w:t>Record</w:t>
            </w:r>
          </w:p>
        </w:tc>
      </w:tr>
      <w:tr>
        <w:tc>
          <w:tcPr>
            <w:tcW w:type="dxa" w:w="5040"/>
          </w:tcPr>
          <w:p>
            <w:r>
              <w:t>Student / team</w:t>
            </w:r>
          </w:p>
        </w:tc>
        <w:tc>
          <w:tcPr>
            <w:tcW w:type="dxa" w:w="5040"/>
          </w:tcPr>
          <w:p>
            <w:r>
              <w:t>Student to enter personal name/team before upload; identity not supplied</w:t>
            </w:r>
          </w:p>
        </w:tc>
      </w:tr>
      <w:tr>
        <w:tc>
          <w:tcPr>
            <w:tcW w:type="dxa" w:w="5040"/>
          </w:tcPr>
          <w:p>
            <w:r>
              <w:t>Assignment / specialist</w:t>
            </w:r>
          </w:p>
        </w:tc>
        <w:tc>
          <w:tcPr>
            <w:tcW w:type="dxa" w:w="5040"/>
          </w:tcPr>
          <w:p>
            <w:r>
              <w:t>Week 4 Assignment 2 — Emerging Technology Disruption Agent</w:t>
            </w:r>
          </w:p>
        </w:tc>
      </w:tr>
      <w:tr>
        <w:tc>
          <w:tcPr>
            <w:tcW w:type="dxa" w:w="5040"/>
          </w:tcPr>
          <w:p>
            <w:r>
              <w:t>Case date</w:t>
            </w:r>
          </w:p>
        </w:tc>
        <w:tc>
          <w:tcPr>
            <w:tcW w:type="dxa" w:w="5040"/>
          </w:tcPr>
          <w:p>
            <w:r>
              <w:t>October 13, 2026; validation execution timestamps in records/validation</w:t>
            </w:r>
          </w:p>
        </w:tc>
      </w:tr>
      <w:tr>
        <w:tc>
          <w:tcPr>
            <w:tcW w:type="dxa" w:w="5040"/>
          </w:tcPr>
          <w:p>
            <w:r>
              <w:t>Repository</w:t>
            </w:r>
          </w:p>
        </w:tc>
        <w:tc>
          <w:tcPr>
            <w:tcW w:type="dxa" w:w="5040"/>
          </w:tcPr>
          <w:p>
            <w:r>
              <w:t>https://github.com/zz10965-alt/emerging-technology-disruption-agent</w:t>
            </w:r>
          </w:p>
        </w:tc>
      </w:tr>
      <w:tr>
        <w:tc>
          <w:tcPr>
            <w:tcW w:type="dxa" w:w="5040"/>
          </w:tcPr>
          <w:p>
            <w:r>
              <w:t>Branch</w:t>
            </w:r>
          </w:p>
        </w:tc>
        <w:tc>
          <w:tcPr>
            <w:tcW w:type="dxa" w:w="5040"/>
          </w:tcPr>
          <w:p>
            <w:r>
              <w:t>assignment-2-disruption-agent</w:t>
            </w:r>
          </w:p>
        </w:tc>
      </w:tr>
      <w:tr>
        <w:tc>
          <w:tcPr>
            <w:tcW w:type="dxa" w:w="5040"/>
          </w:tcPr>
          <w:p>
            <w:r>
              <w:t>Commit / version</w:t>
            </w:r>
          </w:p>
        </w:tc>
        <w:tc>
          <w:tcPr>
            <w:tcW w:type="dxa" w:w="5040"/>
          </w:tcPr>
          <w:p>
            <w:r>
              <w:t>Actual v0 baseline 3425092, revision source 79b9814. Final packaged source SHA recorded in submission_manifest.json. Tested specialist remains 0.4-reviewed</w:t>
            </w:r>
          </w:p>
        </w:tc>
      </w:tr>
      <w:tr>
        <w:tc>
          <w:tcPr>
            <w:tcW w:type="dxa" w:w="5040"/>
          </w:tcPr>
          <w:p>
            <w:r>
              <w:t>Frozen scaffold</w:t>
            </w:r>
          </w:p>
        </w:tc>
        <w:tc>
          <w:tcPr>
            <w:tcW w:type="dxa" w:w="5040"/>
          </w:tcPr>
          <w:p>
            <w:r>
              <w:t>MASY1800_ET_Agent_Scaffold_v1_0; original package/core/tool hashes verified</w:t>
            </w:r>
          </w:p>
        </w:tc>
      </w:tr>
    </w:tbl>
    <w:p>
      <w:pPr>
        <w:pStyle w:val="Heading2"/>
      </w:pPr>
      <w:r>
        <w:t>B. Specialist Purpose and Context</w:t>
      </w:r>
    </w:p>
    <w:p>
      <w:pPr>
        <w:pStyle w:val="ListBullet"/>
      </w:pPr>
      <w:r>
        <w:t>Governing question: How much creative destruction could this technology cause to this business/industry, on what horizon, and what should management do?</w:t>
      </w:r>
    </w:p>
    <w:p>
      <w:pPr>
        <w:pStyle w:val="ListBullet"/>
      </w:pPr>
      <w:r>
        <w:t>ET: Human-assisted LLM public-source bilingual synthesis and recommendations, not autonomous interviews, partner negotiation or execution.</w:t>
      </w:r>
    </w:p>
    <w:p>
      <w:pPr>
        <w:pStyle w:val="ListBullet"/>
      </w:pPr>
      <w:r>
        <w:t>Primary application: Paid U.S. competitor/customer/channel research packages for Chinese home/lifestyle brands.</w:t>
      </w:r>
    </w:p>
    <w:p>
      <w:pPr>
        <w:pStyle w:val="ListBullet"/>
      </w:pPr>
      <w:r>
        <w:t>Organization: Hypothetical small report-led market-entry consultancy. Contrasts: fieldwork/execution-led consultancy and brand's internal expansion team. Attributes are assumptions, not named-company facts.</w:t>
      </w:r>
    </w:p>
    <w:p>
      <w:pPr>
        <w:pStyle w:val="ListBullet"/>
      </w:pPr>
      <w:r>
        <w:t>Posture: Moderate/fast follower, approved public/redacted inputs and human sign-off.</w:t>
      </w:r>
    </w:p>
    <w:p>
      <w:pPr>
        <w:pStyle w:val="ListBullet"/>
      </w:pPr>
      <w:r>
        <w:t>Risk: Incorrect advice, false sources, confidentiality, cultural misinterpretation and unjustified customer/partner claims. Legal/tax/customs/product compliance excluded.</w:t>
      </w:r>
    </w:p>
    <w:p>
      <w:pPr>
        <w:pStyle w:val="ListBullet"/>
      </w:pPr>
      <w:r>
        <w:t>Decision/horizon: Next-12-month response. Near through October 13, 2027, mid through October 13, 2029, far thereafter; these are planning bins, not forecasts.</w:t>
      </w:r>
    </w:p>
    <w:p>
      <w:pPr>
        <w:pStyle w:val="Heading2"/>
      </w:pPr>
      <w:r>
        <w:t>C. Three-Level Finding</w:t>
      </w:r>
    </w:p>
    <w:p>
      <w:pPr>
        <w:pStyle w:val="ListBullet"/>
      </w:pPr>
      <w:r>
        <w:t>ET generally: Actual v1 general findings are identical across the three cases. Draft assistance is plausible, but cross-sector results do not establish niche ROI or disruption.</w:t>
      </w:r>
    </w:p>
    <w:p>
      <w:pPr>
        <w:pStyle w:val="ListBullet"/>
      </w:pPr>
      <w:r>
        <w:t>For application: Generic desk research may become easier; authentic U.S. customer validation and source checking remain different needs. No measured net savings.</w:t>
      </w:r>
    </w:p>
    <w:p>
      <w:pPr>
        <w:pStyle w:val="ListBullet"/>
      </w:pPr>
      <w:r>
        <w:t>For organization: Selling generic reports exposes paid content differently from fieldwork/execution or product sales. Primary v1 separates High conditional stress exposure from undetermined actual potency; it defers business-impact timing. Other-context categories are not directly comparable measures.</w:t>
      </w:r>
    </w:p>
    <w:p>
      <w:pPr>
        <w:pStyle w:val="ListBullet"/>
      </w:pPr>
      <w:r>
        <w:t>Bounded implication: Pilot now for learning, not because a dated High/mid forecast was validated. Primary v1 proposes a 6–8-week public-data experiment with source, review cost and client-value measures; it was not executed.</w:t>
      </w:r>
    </w:p>
    <w:p>
      <w:pPr>
        <w:pStyle w:val="ListBullet"/>
      </w:pPr>
      <w:r>
        <w:t>Confidence: Moderate in conceptual mechanisms/source-risk boundaries; low in realized magnitude/timing and real-world transfer. No probabilities inferred.</w:t>
      </w:r>
    </w:p>
    <w:p>
      <w:pPr>
        <w:pStyle w:val="ListBullet"/>
      </w:pPr>
      <w:r>
        <w:t>Change condition: Documented substitution, fees/margins, fully loaded cost/quality and genuine consumer/partner evidence could change assessment.</w:t>
      </w:r>
    </w:p>
    <w:p>
      <w:pPr>
        <w:pStyle w:val="Heading2"/>
      </w:pPr>
      <w:r>
        <w:t>D. Evidence and Testing</w:t>
      </w:r>
    </w:p>
    <w:p>
      <w:pPr>
        <w:pStyle w:val="ListBullet"/>
      </w:pPr>
      <w:r>
        <w:t>Sources: Fortino Chapter 1 framework; NBER WP 31161 November 2023 passages; SBA research-method guidance; NIST AI 600-1 risk sections. HBS 403 excluded. Provenance and limits in evidence/.</w:t>
      </w:r>
    </w:p>
    <w:p>
      <w:pPr>
        <w:pStyle w:val="ListBullet"/>
      </w:pPr>
      <w:r>
        <w:t>Primary v0: Conditional High/mid-term with unsupported arrival window. Preserved exact output and critique, not edited in place.</w:t>
      </w:r>
    </w:p>
    <w:p>
      <w:pPr>
        <w:pStyle w:val="ListBullet"/>
      </w:pPr>
      <w:r>
        <w:t>Contrasts: Valid value-capture difference: paid report versus fieldwork/execution versus internal support for goods sales. Same general findings/evidence remain stable. The numerical/category ladder alone is not accepted as context validity.</w:t>
      </w:r>
    </w:p>
    <w:p>
      <w:pPr>
        <w:pStyle w:val="ListBullet"/>
      </w:pPr>
      <w:r>
        <w:t>Weakness found: Unsupported primary timing, changing business-model/workflow assessment object, generic copied counterarguments. Exact passages in critical_review.md.</w:t>
      </w:r>
    </w:p>
    <w:p>
      <w:pPr>
        <w:pStyle w:val="ListBullet"/>
      </w:pPr>
      <w:r>
        <w:t>Revision: 0.4 evidence gates, stress-versus-supported assessment, fixed assessment object, timing abstention, tailored counterargument and ledger/scope controls. Old instructions/metadata/packets retained.</w:t>
      </w:r>
    </w:p>
    <w:p>
      <w:pPr>
        <w:pStyle w:val="ListBullet"/>
      </w:pPr>
      <w:r>
        <w:t>Actual retest: Three received v1 responses based on revised packet specifications, generated in ONE ChatGPT conversation. Not three independent fresh-chat tests. No witnessed Codex API session or full model/settings transcript. Raw outputs/handoff and hashes preserved.</w:t>
      </w:r>
    </w:p>
    <w:p>
      <w:pPr>
        <w:pStyle w:val="ListBullet"/>
      </w:pPr>
      <w:r>
        <w:t>Checks: All six v0/v1 responses independently pass instructor validator and full Draft 2020-12 schema. Frozen/core/package checks pass. Inputs/evidence unchanged in repository. See validation logs.</w:t>
      </w:r>
    </w:p>
    <w:p>
      <w:pPr>
        <w:pStyle w:val="ListBullet"/>
      </w:pPr>
      <w:r>
        <w:t>Observed correction: Primary separates conditional High from unknown realized potency and explicitly leaves impact date undetermined. NBER version precision and threshold calibration improve.</w:t>
      </w:r>
    </w:p>
    <w:p>
      <w:pPr>
        <w:pStyle w:val="ListBullet"/>
      </w:pPr>
      <w:r>
        <w:t>Partial/non-correction: Contrast 1 still uses an ancillary service Moderate label; illustrative process cells persist; contrary-evidence arrays identical; ledger not exhaustive. Full behavioral compliance is NOT claimed.</w:t>
      </w:r>
    </w:p>
    <w:p>
      <w:pPr>
        <w:pStyle w:val="ListBullet"/>
      </w:pPr>
      <w:r>
        <w:t>Causal/reliability limit: Same-session carryover/anchoring and unrecorded settings prevent attributing improvements solely to revision or claiming independent reproducibility. No company/pilot performance validated.</w:t>
      </w:r>
    </w:p>
    <w:p>
      <w:pPr>
        <w:pStyle w:val="Heading2"/>
      </w:pPr>
      <w:r>
        <w:t>E. Independent Judgment and Handoff</w:t>
      </w:r>
    </w:p>
    <w:p>
      <w:pPr>
        <w:pStyle w:val="ListBullet"/>
      </w:pPr>
      <w:r>
        <w:t>Adequate for team consideration? Yes as a bounded, transparent tested candidate with documented failure and partial improvement, not autonomous decision support or market forecasting. All acceptance criteria have not passed.</w:t>
      </w:r>
    </w:p>
    <w:p>
      <w:pPr>
        <w:pStyle w:val="ListBullet"/>
      </w:pPr>
      <w:r>
        <w:t>Recommendation: Source-audited reversible pilot before price/staff changes. Retain real field validation and human responsibility. Do not rank scenario categories as probabilities.</w:t>
      </w:r>
    </w:p>
    <w:p>
      <w:pPr>
        <w:pStyle w:val="ListBullet"/>
      </w:pPr>
      <w:r>
        <w:t>Integration limitation: Preserve evidence scope, confidence, assumptions, context and abstention. Separate workflow opportunity from business-model threat and future research from actual results.</w:t>
      </w:r>
    </w:p>
    <w:p>
      <w:pPr>
        <w:pStyle w:val="ListBullet"/>
      </w:pPr>
      <w:r>
        <w:t>AI/verification: Codex drafted and checked framework/source passages; user supplied actual ChatGPT v0/v1. Codex preserved, independently validated and critically reviewed them. V1 uses the same supplied source snapshot, not independent fresh browsing. No fabricated model returns, interviews, pilot results or fully fixed claims.</w:t>
      </w:r>
    </w:p>
    <w:p>
      <w:pPr>
        <w:pStyle w:val="ListBullet"/>
      </w:pPr>
      <w:r>
        <w:t>Personal review: Independent judgment and 100-word-maximum Craft Gained are English AI-assisted drafts for student review. Add name/team and confirm personal accuracy before Brightspace submission.</w:t>
      </w:r>
    </w:p>
    <w:sectPr w:rsidR="00FC693F" w:rsidRPr="0006063C" w:rsidSect="00034616">
      <w:head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Assignment 2 | Source-linked analysis and test record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