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44"/>
        </w:rPr>
        <w:t>智能学习辅助系统 UML 建模实验报告</w:t>
      </w:r>
    </w:p>
    <w:p>
      <w:pPr>
        <w:jc w:val="center"/>
      </w:pPr>
      <w:r>
        <w:rPr>
          <w:sz w:val="22"/>
        </w:rPr>
        <w:t>分布式框架技术课程项目设计文档配套 UML 图</w:t>
      </w:r>
    </w:p>
    <w:p>
      <w:pPr>
        <w:pStyle w:val="Heading1"/>
      </w:pPr>
      <w:r>
        <w:t>一、实验目的</w:t>
      </w:r>
    </w:p>
    <w:p>
      <w:pPr>
        <w:spacing w:after="120" w:line="300" w:lineRule="auto"/>
      </w:pPr>
      <w:r>
        <w:t>本实验围绕 majorassignment 项目的智能学习辅助系统进行 UML 建模。报告采用“课程核心图 + 业务扩展图”的组织方式：先输出用例图、类图、对象图、顺序图、协作图、状态图、活动图、组件图和部署图 9 类课程核心 UML 图，再围绕登录认证、作业批改、考试提交、AI 组卷、学情分析、通知推送和微服务依赖补充 15 张业务扩展图，共 24 张 UML 图片。</w:t>
      </w:r>
    </w:p>
    <w:p>
      <w:pPr>
        <w:spacing w:after="120" w:line="300" w:lineRule="auto"/>
      </w:pPr>
      <w:r>
        <w:t>项目采用 Spring Cloud 微服务迁移架构，包含 Gateway、Eureka 注册中心、认证、用户、课程、作业、考试、分析、通知、AI 服务以及 legacy-adapter 和过渡单体 major_assignment。</w:t>
      </w:r>
    </w:p>
    <w:p>
      <w:pPr>
        <w:pStyle w:val="Heading1"/>
      </w:pPr>
      <w:r>
        <w:t>二、实验环境与生成方式</w:t>
      </w:r>
    </w:p>
    <w:tbl>
      <w:tblPr>
        <w:tblStyle w:val="TableGrid"/>
        <w:tblW w:type="auto" w:w="0"/>
        <w:tblLook w:firstColumn="1" w:firstRow="1" w:lastColumn="0" w:lastRow="0" w:noHBand="0" w:noVBand="1" w:val="04A0"/>
      </w:tblPr>
      <w:tblGrid>
        <w:gridCol w:w="4873"/>
        <w:gridCol w:w="4873"/>
      </w:tblGrid>
      <w:tr>
        <w:tc>
          <w:tcPr>
            <w:tcW w:type="dxa" w:w="4873"/>
            <w:shd w:fill="DBEAFE"/>
          </w:tcPr>
          <w:p>
            <w:r>
              <w:t>项目</w:t>
            </w:r>
          </w:p>
        </w:tc>
        <w:tc>
          <w:tcPr>
            <w:tcW w:type="dxa" w:w="4873"/>
            <w:shd w:fill="DBEAFE"/>
          </w:tcPr>
          <w:p>
            <w:r>
              <w:t>说明</w:t>
            </w:r>
          </w:p>
        </w:tc>
      </w:tr>
      <w:tr>
        <w:tc>
          <w:tcPr>
            <w:tcW w:type="dxa" w:w="4873"/>
            <w:tcW w:w="2381" w:type="dxa"/>
          </w:tcPr>
          <w:p>
            <w:r>
              <w:t>系统名称</w:t>
            </w:r>
          </w:p>
        </w:tc>
        <w:tc>
          <w:tcPr>
            <w:tcW w:type="dxa" w:w="4873"/>
            <w:tcW w:w="6690" w:type="dxa"/>
          </w:tcPr>
          <w:p>
            <w:r>
              <w:t>智能学习辅助系统</w:t>
            </w:r>
          </w:p>
        </w:tc>
      </w:tr>
      <w:tr>
        <w:tc>
          <w:tcPr>
            <w:tcW w:type="dxa" w:w="4873"/>
            <w:tcW w:w="2381" w:type="dxa"/>
          </w:tcPr>
          <w:p>
            <w:r>
              <w:t>项目目录</w:t>
            </w:r>
          </w:p>
        </w:tc>
        <w:tc>
          <w:tcPr>
            <w:tcW w:type="dxa" w:w="4873"/>
            <w:tcW w:w="6690" w:type="dxa"/>
          </w:tcPr>
          <w:p>
            <w:r>
              <w:t>D:/111/Distributed framework technology/JavaCode/majorassignment</w:t>
            </w:r>
          </w:p>
        </w:tc>
      </w:tr>
      <w:tr>
        <w:tc>
          <w:tcPr>
            <w:tcW w:type="dxa" w:w="4873"/>
            <w:tcW w:w="2381" w:type="dxa"/>
          </w:tcPr>
          <w:p>
            <w:r>
              <w:t>建模范围</w:t>
            </w:r>
          </w:p>
        </w:tc>
        <w:tc>
          <w:tcPr>
            <w:tcW w:type="dxa" w:w="4873"/>
            <w:tcW w:w="6690" w:type="dxa"/>
          </w:tcPr>
          <w:p>
            <w:r>
              <w:t>9 张课程核心 UML 图 + 15 张智能学习业务扩展 UML 图</w:t>
            </w:r>
          </w:p>
        </w:tc>
      </w:tr>
      <w:tr>
        <w:tc>
          <w:tcPr>
            <w:tcW w:type="dxa" w:w="4873"/>
            <w:tcW w:w="2381" w:type="dxa"/>
          </w:tcPr>
          <w:p>
            <w:r>
              <w:t>图类型</w:t>
            </w:r>
          </w:p>
        </w:tc>
        <w:tc>
          <w:tcPr>
            <w:tcW w:type="dxa" w:w="4873"/>
            <w:tcW w:w="6690" w:type="dxa"/>
          </w:tcPr>
          <w:p>
            <w:r>
              <w:t>用例图、类图、对象图、顺序图、协作图、状态图、活动图、组件图、部署图</w:t>
            </w:r>
          </w:p>
        </w:tc>
      </w:tr>
      <w:tr>
        <w:tc>
          <w:tcPr>
            <w:tcW w:type="dxa" w:w="4873"/>
            <w:tcW w:w="2381" w:type="dxa"/>
          </w:tcPr>
          <w:p>
            <w:r>
              <w:t>图片数量</w:t>
            </w:r>
          </w:p>
        </w:tc>
        <w:tc>
          <w:tcPr>
            <w:tcW w:type="dxa" w:w="4873"/>
            <w:tcW w:w="6690" w:type="dxa"/>
          </w:tcPr>
          <w:p>
            <w:r>
              <w:t>24 张 UML 图片，外加 1 张 contact-sheet 总览图</w:t>
            </w:r>
          </w:p>
        </w:tc>
      </w:tr>
      <w:tr>
        <w:tc>
          <w:tcPr>
            <w:tcW w:type="dxa" w:w="4873"/>
            <w:tcW w:w="2381" w:type="dxa"/>
          </w:tcPr>
          <w:p>
            <w:r>
              <w:t>可编辑产物</w:t>
            </w:r>
          </w:p>
        </w:tc>
        <w:tc>
          <w:tcPr>
            <w:tcW w:type="dxa" w:w="4873"/>
            <w:tcW w:w="6690" w:type="dxa"/>
          </w:tcPr>
          <w:p>
            <w:r>
              <w:t>sources/smart-learning-system.mdj 与 staruml-extension/smart-learning-uml-generator</w:t>
            </w:r>
          </w:p>
        </w:tc>
      </w:tr>
      <w:tr>
        <w:tc>
          <w:tcPr>
            <w:tcW w:type="dxa" w:w="4873"/>
            <w:tcW w:w="2381" w:type="dxa"/>
          </w:tcPr>
          <w:p>
            <w:r>
              <w:t>一键生成入口</w:t>
            </w:r>
          </w:p>
        </w:tc>
        <w:tc>
          <w:tcPr>
            <w:tcW w:type="dxa" w:w="4873"/>
            <w:tcW w:w="6690" w:type="dxa"/>
          </w:tcPr>
          <w:p>
            <w:r>
              <w:t>运行 tools/generate_uml_delivery.py 重新生成全部图片、模型源、扩展包和报告</w:t>
            </w:r>
          </w:p>
        </w:tc>
      </w:tr>
    </w:tbl>
    <w:p>
      <w:pPr>
        <w:pStyle w:val="Heading1"/>
      </w:pPr>
      <w:r>
        <w:t>三、UML 图清单</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DBEAFE"/>
          </w:tcPr>
          <w:p>
            <w:r>
              <w:t>序号</w:t>
            </w:r>
          </w:p>
        </w:tc>
        <w:tc>
          <w:tcPr>
            <w:tcW w:type="dxa" w:w="1949"/>
            <w:shd w:fill="DBEAFE"/>
          </w:tcPr>
          <w:p>
            <w:r>
              <w:t>分组</w:t>
            </w:r>
          </w:p>
        </w:tc>
        <w:tc>
          <w:tcPr>
            <w:tcW w:type="dxa" w:w="1949"/>
            <w:shd w:fill="DBEAFE"/>
          </w:tcPr>
          <w:p>
            <w:r>
              <w:t>图名</w:t>
            </w:r>
          </w:p>
        </w:tc>
        <w:tc>
          <w:tcPr>
            <w:tcW w:type="dxa" w:w="1949"/>
            <w:shd w:fill="DBEAFE"/>
          </w:tcPr>
          <w:p>
            <w:r>
              <w:t>UML 类型</w:t>
            </w:r>
          </w:p>
        </w:tc>
        <w:tc>
          <w:tcPr>
            <w:tcW w:type="dxa" w:w="1949"/>
            <w:shd w:fill="DBEAFE"/>
          </w:tcPr>
          <w:p>
            <w:r>
              <w:t>建模重点</w:t>
            </w:r>
          </w:p>
        </w:tc>
      </w:tr>
      <w:tr>
        <w:tc>
          <w:tcPr>
            <w:tcW w:type="dxa" w:w="1949"/>
            <w:tcW w:w="680" w:type="dxa"/>
          </w:tcPr>
          <w:p>
            <w:r>
              <w:t>1</w:t>
            </w:r>
          </w:p>
        </w:tc>
        <w:tc>
          <w:tcPr>
            <w:tcW w:type="dxa" w:w="1949"/>
            <w:tcW w:w="1417" w:type="dxa"/>
          </w:tcPr>
          <w:p>
            <w:r>
              <w:t>课程核心</w:t>
            </w:r>
          </w:p>
        </w:tc>
        <w:tc>
          <w:tcPr>
            <w:tcW w:type="dxa" w:w="1949"/>
            <w:tcW w:w="2835" w:type="dxa"/>
          </w:tcPr>
          <w:p>
            <w:r>
              <w:t>图1 智能学习辅助系统用例图</w:t>
            </w:r>
          </w:p>
        </w:tc>
        <w:tc>
          <w:tcPr>
            <w:tcW w:type="dxa" w:w="1949"/>
            <w:tcW w:w="2154" w:type="dxa"/>
          </w:tcPr>
          <w:p>
            <w:r>
              <w:t>Use Case Diagram</w:t>
            </w:r>
          </w:p>
        </w:tc>
        <w:tc>
          <w:tcPr>
            <w:tcW w:type="dxa" w:w="1949"/>
            <w:tcW w:w="2551" w:type="dxa"/>
          </w:tcPr>
          <w:p>
            <w:r>
              <w:t>参与者与用户目标</w:t>
            </w:r>
          </w:p>
        </w:tc>
      </w:tr>
      <w:tr>
        <w:tc>
          <w:tcPr>
            <w:tcW w:type="dxa" w:w="1949"/>
            <w:tcW w:w="680" w:type="dxa"/>
          </w:tcPr>
          <w:p>
            <w:r>
              <w:t>2</w:t>
            </w:r>
          </w:p>
        </w:tc>
        <w:tc>
          <w:tcPr>
            <w:tcW w:type="dxa" w:w="1949"/>
            <w:tcW w:w="1417" w:type="dxa"/>
          </w:tcPr>
          <w:p>
            <w:r>
              <w:t>课程核心</w:t>
            </w:r>
          </w:p>
        </w:tc>
        <w:tc>
          <w:tcPr>
            <w:tcW w:type="dxa" w:w="1949"/>
            <w:tcW w:w="2835" w:type="dxa"/>
          </w:tcPr>
          <w:p>
            <w:r>
              <w:t>图2 智能学习辅助系统类图</w:t>
            </w:r>
          </w:p>
        </w:tc>
        <w:tc>
          <w:tcPr>
            <w:tcW w:type="dxa" w:w="1949"/>
            <w:tcW w:w="2154" w:type="dxa"/>
          </w:tcPr>
          <w:p>
            <w:r>
              <w:t>Class Diagram</w:t>
            </w:r>
          </w:p>
        </w:tc>
        <w:tc>
          <w:tcPr>
            <w:tcW w:type="dxa" w:w="1949"/>
            <w:tcW w:w="2551" w:type="dxa"/>
          </w:tcPr>
          <w:p>
            <w:r>
              <w:t>领域对象与分层结构</w:t>
            </w:r>
          </w:p>
        </w:tc>
      </w:tr>
      <w:tr>
        <w:tc>
          <w:tcPr>
            <w:tcW w:type="dxa" w:w="1949"/>
            <w:tcW w:w="680" w:type="dxa"/>
          </w:tcPr>
          <w:p>
            <w:r>
              <w:t>3</w:t>
            </w:r>
          </w:p>
        </w:tc>
        <w:tc>
          <w:tcPr>
            <w:tcW w:type="dxa" w:w="1949"/>
            <w:tcW w:w="1417" w:type="dxa"/>
          </w:tcPr>
          <w:p>
            <w:r>
              <w:t>课程核心</w:t>
            </w:r>
          </w:p>
        </w:tc>
        <w:tc>
          <w:tcPr>
            <w:tcW w:type="dxa" w:w="1949"/>
            <w:tcW w:w="2835" w:type="dxa"/>
          </w:tcPr>
          <w:p>
            <w:r>
              <w:t>图3 考试提交场景对象图</w:t>
            </w:r>
          </w:p>
        </w:tc>
        <w:tc>
          <w:tcPr>
            <w:tcW w:type="dxa" w:w="1949"/>
            <w:tcW w:w="2154" w:type="dxa"/>
          </w:tcPr>
          <w:p>
            <w:r>
              <w:t>Object Diagram</w:t>
            </w:r>
          </w:p>
        </w:tc>
        <w:tc>
          <w:tcPr>
            <w:tcW w:type="dxa" w:w="1949"/>
            <w:tcW w:w="2551" w:type="dxa"/>
          </w:tcPr>
          <w:p>
            <w:r>
              <w:t>考试提交运行时快照</w:t>
            </w:r>
          </w:p>
        </w:tc>
      </w:tr>
      <w:tr>
        <w:tc>
          <w:tcPr>
            <w:tcW w:type="dxa" w:w="1949"/>
            <w:tcW w:w="680" w:type="dxa"/>
          </w:tcPr>
          <w:p>
            <w:r>
              <w:t>4</w:t>
            </w:r>
          </w:p>
        </w:tc>
        <w:tc>
          <w:tcPr>
            <w:tcW w:type="dxa" w:w="1949"/>
            <w:tcW w:w="1417" w:type="dxa"/>
          </w:tcPr>
          <w:p>
            <w:r>
              <w:t>课程核心</w:t>
            </w:r>
          </w:p>
        </w:tc>
        <w:tc>
          <w:tcPr>
            <w:tcW w:type="dxa" w:w="1949"/>
            <w:tcW w:w="2835" w:type="dxa"/>
          </w:tcPr>
          <w:p>
            <w:r>
              <w:t>图4 学生考试提交顺序图</w:t>
            </w:r>
          </w:p>
        </w:tc>
        <w:tc>
          <w:tcPr>
            <w:tcW w:type="dxa" w:w="1949"/>
            <w:tcW w:w="2154" w:type="dxa"/>
          </w:tcPr>
          <w:p>
            <w:r>
              <w:t>Sequence Diagram</w:t>
            </w:r>
          </w:p>
        </w:tc>
        <w:tc>
          <w:tcPr>
            <w:tcW w:type="dxa" w:w="1949"/>
            <w:tcW w:w="2551" w:type="dxa"/>
          </w:tcPr>
          <w:p>
            <w:r>
              <w:t>考试提交消息顺序</w:t>
            </w:r>
          </w:p>
        </w:tc>
      </w:tr>
      <w:tr>
        <w:tc>
          <w:tcPr>
            <w:tcW w:type="dxa" w:w="1949"/>
            <w:tcW w:w="680" w:type="dxa"/>
          </w:tcPr>
          <w:p>
            <w:r>
              <w:t>5</w:t>
            </w:r>
          </w:p>
        </w:tc>
        <w:tc>
          <w:tcPr>
            <w:tcW w:type="dxa" w:w="1949"/>
            <w:tcW w:w="1417" w:type="dxa"/>
          </w:tcPr>
          <w:p>
            <w:r>
              <w:t>课程核心</w:t>
            </w:r>
          </w:p>
        </w:tc>
        <w:tc>
          <w:tcPr>
            <w:tcW w:type="dxa" w:w="1949"/>
            <w:tcW w:w="2835" w:type="dxa"/>
          </w:tcPr>
          <w:p>
            <w:r>
              <w:t>图5 学生考试提交协作图</w:t>
            </w:r>
          </w:p>
        </w:tc>
        <w:tc>
          <w:tcPr>
            <w:tcW w:type="dxa" w:w="1949"/>
            <w:tcW w:w="2154" w:type="dxa"/>
          </w:tcPr>
          <w:p>
            <w:r>
              <w:t>Communication Diagram</w:t>
            </w:r>
          </w:p>
        </w:tc>
        <w:tc>
          <w:tcPr>
            <w:tcW w:type="dxa" w:w="1949"/>
            <w:tcW w:w="2551" w:type="dxa"/>
          </w:tcPr>
          <w:p>
            <w:r>
              <w:t>对象协作与消息编号</w:t>
            </w:r>
          </w:p>
        </w:tc>
      </w:tr>
      <w:tr>
        <w:tc>
          <w:tcPr>
            <w:tcW w:type="dxa" w:w="1949"/>
            <w:tcW w:w="680" w:type="dxa"/>
          </w:tcPr>
          <w:p>
            <w:r>
              <w:t>6</w:t>
            </w:r>
          </w:p>
        </w:tc>
        <w:tc>
          <w:tcPr>
            <w:tcW w:type="dxa" w:w="1949"/>
            <w:tcW w:w="1417" w:type="dxa"/>
          </w:tcPr>
          <w:p>
            <w:r>
              <w:t>课程核心</w:t>
            </w:r>
          </w:p>
        </w:tc>
        <w:tc>
          <w:tcPr>
            <w:tcW w:type="dxa" w:w="1949"/>
            <w:tcW w:w="2835" w:type="dxa"/>
          </w:tcPr>
          <w:p>
            <w:r>
              <w:t>图6 考试提交记录状态图</w:t>
            </w:r>
          </w:p>
        </w:tc>
        <w:tc>
          <w:tcPr>
            <w:tcW w:type="dxa" w:w="1949"/>
            <w:tcW w:w="2154" w:type="dxa"/>
          </w:tcPr>
          <w:p>
            <w:r>
              <w:t>Statechart Diagram</w:t>
            </w:r>
          </w:p>
        </w:tc>
        <w:tc>
          <w:tcPr>
            <w:tcW w:type="dxa" w:w="1949"/>
            <w:tcW w:w="2551" w:type="dxa"/>
          </w:tcPr>
          <w:p>
            <w:r>
              <w:t>考试提交记录生命周期</w:t>
            </w:r>
          </w:p>
        </w:tc>
      </w:tr>
      <w:tr>
        <w:tc>
          <w:tcPr>
            <w:tcW w:type="dxa" w:w="1949"/>
            <w:tcW w:w="680" w:type="dxa"/>
          </w:tcPr>
          <w:p>
            <w:r>
              <w:t>7</w:t>
            </w:r>
          </w:p>
        </w:tc>
        <w:tc>
          <w:tcPr>
            <w:tcW w:type="dxa" w:w="1949"/>
            <w:tcW w:w="1417" w:type="dxa"/>
          </w:tcPr>
          <w:p>
            <w:r>
              <w:t>课程核心</w:t>
            </w:r>
          </w:p>
        </w:tc>
        <w:tc>
          <w:tcPr>
            <w:tcW w:type="dxa" w:w="1949"/>
            <w:tcW w:w="2835" w:type="dxa"/>
          </w:tcPr>
          <w:p>
            <w:r>
              <w:t>图7 考试提交与分析活动图</w:t>
            </w:r>
          </w:p>
        </w:tc>
        <w:tc>
          <w:tcPr>
            <w:tcW w:type="dxa" w:w="1949"/>
            <w:tcW w:w="2154" w:type="dxa"/>
          </w:tcPr>
          <w:p>
            <w:r>
              <w:t>Activity Diagram</w:t>
            </w:r>
          </w:p>
        </w:tc>
        <w:tc>
          <w:tcPr>
            <w:tcW w:type="dxa" w:w="1949"/>
            <w:tcW w:w="2551" w:type="dxa"/>
          </w:tcPr>
          <w:p>
            <w:r>
              <w:t>提交、阅卷、分析流程</w:t>
            </w:r>
          </w:p>
        </w:tc>
      </w:tr>
      <w:tr>
        <w:tc>
          <w:tcPr>
            <w:tcW w:type="dxa" w:w="1949"/>
            <w:tcW w:w="680" w:type="dxa"/>
          </w:tcPr>
          <w:p>
            <w:r>
              <w:t>8</w:t>
            </w:r>
          </w:p>
        </w:tc>
        <w:tc>
          <w:tcPr>
            <w:tcW w:type="dxa" w:w="1949"/>
            <w:tcW w:w="1417" w:type="dxa"/>
          </w:tcPr>
          <w:p>
            <w:r>
              <w:t>课程核心</w:t>
            </w:r>
          </w:p>
        </w:tc>
        <w:tc>
          <w:tcPr>
            <w:tcW w:type="dxa" w:w="1949"/>
            <w:tcW w:w="2835" w:type="dxa"/>
          </w:tcPr>
          <w:p>
            <w:r>
              <w:t>图8 智能学习辅助系统组件图</w:t>
            </w:r>
          </w:p>
        </w:tc>
        <w:tc>
          <w:tcPr>
            <w:tcW w:type="dxa" w:w="1949"/>
            <w:tcW w:w="2154" w:type="dxa"/>
          </w:tcPr>
          <w:p>
            <w:r>
              <w:t>Component Diagram</w:t>
            </w:r>
          </w:p>
        </w:tc>
        <w:tc>
          <w:tcPr>
            <w:tcW w:type="dxa" w:w="1949"/>
            <w:tcW w:w="2551" w:type="dxa"/>
          </w:tcPr>
          <w:p>
            <w:r>
              <w:t>微服务组件依赖</w:t>
            </w:r>
          </w:p>
        </w:tc>
      </w:tr>
      <w:tr>
        <w:tc>
          <w:tcPr>
            <w:tcW w:type="dxa" w:w="1949"/>
            <w:tcW w:w="680" w:type="dxa"/>
          </w:tcPr>
          <w:p>
            <w:r>
              <w:t>9</w:t>
            </w:r>
          </w:p>
        </w:tc>
        <w:tc>
          <w:tcPr>
            <w:tcW w:type="dxa" w:w="1949"/>
            <w:tcW w:w="1417" w:type="dxa"/>
          </w:tcPr>
          <w:p>
            <w:r>
              <w:t>课程核心</w:t>
            </w:r>
          </w:p>
        </w:tc>
        <w:tc>
          <w:tcPr>
            <w:tcW w:type="dxa" w:w="1949"/>
            <w:tcW w:w="2835" w:type="dxa"/>
          </w:tcPr>
          <w:p>
            <w:r>
              <w:t>图9 Docker Compose 部署图</w:t>
            </w:r>
          </w:p>
        </w:tc>
        <w:tc>
          <w:tcPr>
            <w:tcW w:type="dxa" w:w="1949"/>
            <w:tcW w:w="2154" w:type="dxa"/>
          </w:tcPr>
          <w:p>
            <w:r>
              <w:t>Deployment Diagram</w:t>
            </w:r>
          </w:p>
        </w:tc>
        <w:tc>
          <w:tcPr>
            <w:tcW w:type="dxa" w:w="1949"/>
            <w:tcW w:w="2551" w:type="dxa"/>
          </w:tcPr>
          <w:p>
            <w:r>
              <w:t>Docker Compose 部署拓扑</w:t>
            </w:r>
          </w:p>
        </w:tc>
      </w:tr>
      <w:tr>
        <w:tc>
          <w:tcPr>
            <w:tcW w:type="dxa" w:w="1949"/>
            <w:tcW w:w="680" w:type="dxa"/>
          </w:tcPr>
          <w:p>
            <w:r>
              <w:t>10</w:t>
            </w:r>
          </w:p>
        </w:tc>
        <w:tc>
          <w:tcPr>
            <w:tcW w:type="dxa" w:w="1949"/>
            <w:tcW w:w="1417" w:type="dxa"/>
          </w:tcPr>
          <w:p>
            <w:r>
              <w:t>业务扩展</w:t>
            </w:r>
          </w:p>
        </w:tc>
        <w:tc>
          <w:tcPr>
            <w:tcW w:type="dxa" w:w="1949"/>
            <w:tcW w:w="2835" w:type="dxa"/>
          </w:tcPr>
          <w:p>
            <w:r>
              <w:t>图10 角色分组用例图</w:t>
            </w:r>
          </w:p>
        </w:tc>
        <w:tc>
          <w:tcPr>
            <w:tcW w:type="dxa" w:w="1949"/>
            <w:tcW w:w="2154" w:type="dxa"/>
          </w:tcPr>
          <w:p>
            <w:r>
              <w:t>Use Case Diagram</w:t>
            </w:r>
          </w:p>
        </w:tc>
        <w:tc>
          <w:tcPr>
            <w:tcW w:type="dxa" w:w="1949"/>
            <w:tcW w:w="2551" w:type="dxa"/>
          </w:tcPr>
          <w:p>
            <w:r>
              <w:t>分角色用户目标</w:t>
            </w:r>
          </w:p>
        </w:tc>
      </w:tr>
      <w:tr>
        <w:tc>
          <w:tcPr>
            <w:tcW w:type="dxa" w:w="1949"/>
            <w:tcW w:w="680" w:type="dxa"/>
          </w:tcPr>
          <w:p>
            <w:r>
              <w:t>11</w:t>
            </w:r>
          </w:p>
        </w:tc>
        <w:tc>
          <w:tcPr>
            <w:tcW w:type="dxa" w:w="1949"/>
            <w:tcW w:w="1417" w:type="dxa"/>
          </w:tcPr>
          <w:p>
            <w:r>
              <w:t>业务扩展</w:t>
            </w:r>
          </w:p>
        </w:tc>
        <w:tc>
          <w:tcPr>
            <w:tcW w:type="dxa" w:w="1949"/>
            <w:tcW w:w="2835" w:type="dxa"/>
          </w:tcPr>
          <w:p>
            <w:r>
              <w:t>图11 考试作业核心类图</w:t>
            </w:r>
          </w:p>
        </w:tc>
        <w:tc>
          <w:tcPr>
            <w:tcW w:type="dxa" w:w="1949"/>
            <w:tcW w:w="2154" w:type="dxa"/>
          </w:tcPr>
          <w:p>
            <w:r>
              <w:t>Class Diagram</w:t>
            </w:r>
          </w:p>
        </w:tc>
        <w:tc>
          <w:tcPr>
            <w:tcW w:type="dxa" w:w="1949"/>
            <w:tcW w:w="2551" w:type="dxa"/>
          </w:tcPr>
          <w:p>
            <w:r>
              <w:t>考试与作业领域结构</w:t>
            </w:r>
          </w:p>
        </w:tc>
      </w:tr>
      <w:tr>
        <w:tc>
          <w:tcPr>
            <w:tcW w:type="dxa" w:w="1949"/>
            <w:tcW w:w="680" w:type="dxa"/>
          </w:tcPr>
          <w:p>
            <w:r>
              <w:t>12</w:t>
            </w:r>
          </w:p>
        </w:tc>
        <w:tc>
          <w:tcPr>
            <w:tcW w:type="dxa" w:w="1949"/>
            <w:tcW w:w="1417" w:type="dxa"/>
          </w:tcPr>
          <w:p>
            <w:r>
              <w:t>业务扩展</w:t>
            </w:r>
          </w:p>
        </w:tc>
        <w:tc>
          <w:tcPr>
            <w:tcW w:type="dxa" w:w="1949"/>
            <w:tcW w:w="2835" w:type="dxa"/>
          </w:tcPr>
          <w:p>
            <w:r>
              <w:t>图12 用户课程权限类图</w:t>
            </w:r>
          </w:p>
        </w:tc>
        <w:tc>
          <w:tcPr>
            <w:tcW w:type="dxa" w:w="1949"/>
            <w:tcW w:w="2154" w:type="dxa"/>
          </w:tcPr>
          <w:p>
            <w:r>
              <w:t>Class Diagram</w:t>
            </w:r>
          </w:p>
        </w:tc>
        <w:tc>
          <w:tcPr>
            <w:tcW w:type="dxa" w:w="1949"/>
            <w:tcW w:w="2551" w:type="dxa"/>
          </w:tcPr>
          <w:p>
            <w:r>
              <w:t>用户、角色与课程授权关系</w:t>
            </w:r>
          </w:p>
        </w:tc>
      </w:tr>
      <w:tr>
        <w:tc>
          <w:tcPr>
            <w:tcW w:type="dxa" w:w="1949"/>
            <w:tcW w:w="680" w:type="dxa"/>
          </w:tcPr>
          <w:p>
            <w:r>
              <w:t>13</w:t>
            </w:r>
          </w:p>
        </w:tc>
        <w:tc>
          <w:tcPr>
            <w:tcW w:type="dxa" w:w="1949"/>
            <w:tcW w:w="1417" w:type="dxa"/>
          </w:tcPr>
          <w:p>
            <w:r>
              <w:t>业务扩展</w:t>
            </w:r>
          </w:p>
        </w:tc>
        <w:tc>
          <w:tcPr>
            <w:tcW w:type="dxa" w:w="1949"/>
            <w:tcW w:w="2835" w:type="dxa"/>
          </w:tcPr>
          <w:p>
            <w:r>
              <w:t>图13 作业批改场景对象图</w:t>
            </w:r>
          </w:p>
        </w:tc>
        <w:tc>
          <w:tcPr>
            <w:tcW w:type="dxa" w:w="1949"/>
            <w:tcW w:w="2154" w:type="dxa"/>
          </w:tcPr>
          <w:p>
            <w:r>
              <w:t>Object Diagram</w:t>
            </w:r>
          </w:p>
        </w:tc>
        <w:tc>
          <w:tcPr>
            <w:tcW w:type="dxa" w:w="1949"/>
            <w:tcW w:w="2551" w:type="dxa"/>
          </w:tcPr>
          <w:p>
            <w:r>
              <w:t>作业批改运行时对象</w:t>
            </w:r>
          </w:p>
        </w:tc>
      </w:tr>
      <w:tr>
        <w:tc>
          <w:tcPr>
            <w:tcW w:type="dxa" w:w="1949"/>
            <w:tcW w:w="680" w:type="dxa"/>
          </w:tcPr>
          <w:p>
            <w:r>
              <w:t>14</w:t>
            </w:r>
          </w:p>
        </w:tc>
        <w:tc>
          <w:tcPr>
            <w:tcW w:type="dxa" w:w="1949"/>
            <w:tcW w:w="1417" w:type="dxa"/>
          </w:tcPr>
          <w:p>
            <w:r>
              <w:t>业务扩展</w:t>
            </w:r>
          </w:p>
        </w:tc>
        <w:tc>
          <w:tcPr>
            <w:tcW w:type="dxa" w:w="1949"/>
            <w:tcW w:w="2835" w:type="dxa"/>
          </w:tcPr>
          <w:p>
            <w:r>
              <w:t>图14 登录认证顺序图</w:t>
            </w:r>
          </w:p>
        </w:tc>
        <w:tc>
          <w:tcPr>
            <w:tcW w:type="dxa" w:w="1949"/>
            <w:tcW w:w="2154" w:type="dxa"/>
          </w:tcPr>
          <w:p>
            <w:r>
              <w:t>Sequence Diagram</w:t>
            </w:r>
          </w:p>
        </w:tc>
        <w:tc>
          <w:tcPr>
            <w:tcW w:type="dxa" w:w="1949"/>
            <w:tcW w:w="2551" w:type="dxa"/>
          </w:tcPr>
          <w:p>
            <w:r>
              <w:t>登录认证消息顺序</w:t>
            </w:r>
          </w:p>
        </w:tc>
      </w:tr>
      <w:tr>
        <w:tc>
          <w:tcPr>
            <w:tcW w:type="dxa" w:w="1949"/>
            <w:tcW w:w="680" w:type="dxa"/>
          </w:tcPr>
          <w:p>
            <w:r>
              <w:t>15</w:t>
            </w:r>
          </w:p>
        </w:tc>
        <w:tc>
          <w:tcPr>
            <w:tcW w:type="dxa" w:w="1949"/>
            <w:tcW w:w="1417" w:type="dxa"/>
          </w:tcPr>
          <w:p>
            <w:r>
              <w:t>业务扩展</w:t>
            </w:r>
          </w:p>
        </w:tc>
        <w:tc>
          <w:tcPr>
            <w:tcW w:type="dxa" w:w="1949"/>
            <w:tcW w:w="2835" w:type="dxa"/>
          </w:tcPr>
          <w:p>
            <w:r>
              <w:t>图15 作业批改顺序图</w:t>
            </w:r>
          </w:p>
        </w:tc>
        <w:tc>
          <w:tcPr>
            <w:tcW w:type="dxa" w:w="1949"/>
            <w:tcW w:w="2154" w:type="dxa"/>
          </w:tcPr>
          <w:p>
            <w:r>
              <w:t>Sequence Diagram</w:t>
            </w:r>
          </w:p>
        </w:tc>
        <w:tc>
          <w:tcPr>
            <w:tcW w:type="dxa" w:w="1949"/>
            <w:tcW w:w="2551" w:type="dxa"/>
          </w:tcPr>
          <w:p>
            <w:r>
              <w:t>作业批改消息顺序</w:t>
            </w:r>
          </w:p>
        </w:tc>
      </w:tr>
      <w:tr>
        <w:tc>
          <w:tcPr>
            <w:tcW w:type="dxa" w:w="1949"/>
            <w:tcW w:w="680" w:type="dxa"/>
          </w:tcPr>
          <w:p>
            <w:r>
              <w:t>16</w:t>
            </w:r>
          </w:p>
        </w:tc>
        <w:tc>
          <w:tcPr>
            <w:tcW w:type="dxa" w:w="1949"/>
            <w:tcW w:w="1417" w:type="dxa"/>
          </w:tcPr>
          <w:p>
            <w:r>
              <w:t>业务扩展</w:t>
            </w:r>
          </w:p>
        </w:tc>
        <w:tc>
          <w:tcPr>
            <w:tcW w:type="dxa" w:w="1949"/>
            <w:tcW w:w="2835" w:type="dxa"/>
          </w:tcPr>
          <w:p>
            <w:r>
              <w:t>图16 AI 组卷顺序图</w:t>
            </w:r>
          </w:p>
        </w:tc>
        <w:tc>
          <w:tcPr>
            <w:tcW w:type="dxa" w:w="1949"/>
            <w:tcW w:w="2154" w:type="dxa"/>
          </w:tcPr>
          <w:p>
            <w:r>
              <w:t>Sequence Diagram</w:t>
            </w:r>
          </w:p>
        </w:tc>
        <w:tc>
          <w:tcPr>
            <w:tcW w:type="dxa" w:w="1949"/>
            <w:tcW w:w="2551" w:type="dxa"/>
          </w:tcPr>
          <w:p>
            <w:r>
              <w:t>AI 组卷消息顺序</w:t>
            </w:r>
          </w:p>
        </w:tc>
      </w:tr>
      <w:tr>
        <w:tc>
          <w:tcPr>
            <w:tcW w:type="dxa" w:w="1949"/>
            <w:tcW w:w="680" w:type="dxa"/>
          </w:tcPr>
          <w:p>
            <w:r>
              <w:t>17</w:t>
            </w:r>
          </w:p>
        </w:tc>
        <w:tc>
          <w:tcPr>
            <w:tcW w:type="dxa" w:w="1949"/>
            <w:tcW w:w="1417" w:type="dxa"/>
          </w:tcPr>
          <w:p>
            <w:r>
              <w:t>业务扩展</w:t>
            </w:r>
          </w:p>
        </w:tc>
        <w:tc>
          <w:tcPr>
            <w:tcW w:type="dxa" w:w="1949"/>
            <w:tcW w:w="2835" w:type="dxa"/>
          </w:tcPr>
          <w:p>
            <w:r>
              <w:t>图17 学情分析通知协作图</w:t>
            </w:r>
          </w:p>
        </w:tc>
        <w:tc>
          <w:tcPr>
            <w:tcW w:type="dxa" w:w="1949"/>
            <w:tcW w:w="2154" w:type="dxa"/>
          </w:tcPr>
          <w:p>
            <w:r>
              <w:t>Communication Diagram</w:t>
            </w:r>
          </w:p>
        </w:tc>
        <w:tc>
          <w:tcPr>
            <w:tcW w:type="dxa" w:w="1949"/>
            <w:tcW w:w="2551" w:type="dxa"/>
          </w:tcPr>
          <w:p>
            <w:r>
              <w:t>分析预警与通知协作</w:t>
            </w:r>
          </w:p>
        </w:tc>
      </w:tr>
      <w:tr>
        <w:tc>
          <w:tcPr>
            <w:tcW w:type="dxa" w:w="1949"/>
            <w:tcW w:w="680" w:type="dxa"/>
          </w:tcPr>
          <w:p>
            <w:r>
              <w:t>18</w:t>
            </w:r>
          </w:p>
        </w:tc>
        <w:tc>
          <w:tcPr>
            <w:tcW w:type="dxa" w:w="1949"/>
            <w:tcW w:w="1417" w:type="dxa"/>
          </w:tcPr>
          <w:p>
            <w:r>
              <w:t>业务扩展</w:t>
            </w:r>
          </w:p>
        </w:tc>
        <w:tc>
          <w:tcPr>
            <w:tcW w:type="dxa" w:w="1949"/>
            <w:tcW w:w="2835" w:type="dxa"/>
          </w:tcPr>
          <w:p>
            <w:r>
              <w:t>图18 AI 生成协作图</w:t>
            </w:r>
          </w:p>
        </w:tc>
        <w:tc>
          <w:tcPr>
            <w:tcW w:type="dxa" w:w="1949"/>
            <w:tcW w:w="2154" w:type="dxa"/>
          </w:tcPr>
          <w:p>
            <w:r>
              <w:t>Communication Diagram</w:t>
            </w:r>
          </w:p>
        </w:tc>
        <w:tc>
          <w:tcPr>
            <w:tcW w:type="dxa" w:w="1949"/>
            <w:tcW w:w="2551" w:type="dxa"/>
          </w:tcPr>
          <w:p>
            <w:r>
              <w:t>AI 生成对象协作</w:t>
            </w:r>
          </w:p>
        </w:tc>
      </w:tr>
      <w:tr>
        <w:tc>
          <w:tcPr>
            <w:tcW w:type="dxa" w:w="1949"/>
            <w:tcW w:w="680" w:type="dxa"/>
          </w:tcPr>
          <w:p>
            <w:r>
              <w:t>19</w:t>
            </w:r>
          </w:p>
        </w:tc>
        <w:tc>
          <w:tcPr>
            <w:tcW w:type="dxa" w:w="1949"/>
            <w:tcW w:w="1417" w:type="dxa"/>
          </w:tcPr>
          <w:p>
            <w:r>
              <w:t>业务扩展</w:t>
            </w:r>
          </w:p>
        </w:tc>
        <w:tc>
          <w:tcPr>
            <w:tcW w:type="dxa" w:w="1949"/>
            <w:tcW w:w="2835" w:type="dxa"/>
          </w:tcPr>
          <w:p>
            <w:r>
              <w:t>图19 作业提交状态图</w:t>
            </w:r>
          </w:p>
        </w:tc>
        <w:tc>
          <w:tcPr>
            <w:tcW w:type="dxa" w:w="1949"/>
            <w:tcW w:w="2154" w:type="dxa"/>
          </w:tcPr>
          <w:p>
            <w:r>
              <w:t>Statechart Diagram</w:t>
            </w:r>
          </w:p>
        </w:tc>
        <w:tc>
          <w:tcPr>
            <w:tcW w:type="dxa" w:w="1949"/>
            <w:tcW w:w="2551" w:type="dxa"/>
          </w:tcPr>
          <w:p>
            <w:r>
              <w:t>作业提交生命周期</w:t>
            </w:r>
          </w:p>
        </w:tc>
      </w:tr>
      <w:tr>
        <w:tc>
          <w:tcPr>
            <w:tcW w:type="dxa" w:w="1949"/>
            <w:tcW w:w="680" w:type="dxa"/>
          </w:tcPr>
          <w:p>
            <w:r>
              <w:t>20</w:t>
            </w:r>
          </w:p>
        </w:tc>
        <w:tc>
          <w:tcPr>
            <w:tcW w:type="dxa" w:w="1949"/>
            <w:tcW w:w="1417" w:type="dxa"/>
          </w:tcPr>
          <w:p>
            <w:r>
              <w:t>业务扩展</w:t>
            </w:r>
          </w:p>
        </w:tc>
        <w:tc>
          <w:tcPr>
            <w:tcW w:type="dxa" w:w="1949"/>
            <w:tcW w:w="2835" w:type="dxa"/>
          </w:tcPr>
          <w:p>
            <w:r>
              <w:t>图20 通知消息状态图</w:t>
            </w:r>
          </w:p>
        </w:tc>
        <w:tc>
          <w:tcPr>
            <w:tcW w:type="dxa" w:w="1949"/>
            <w:tcW w:w="2154" w:type="dxa"/>
          </w:tcPr>
          <w:p>
            <w:r>
              <w:t>Statechart Diagram</w:t>
            </w:r>
          </w:p>
        </w:tc>
        <w:tc>
          <w:tcPr>
            <w:tcW w:type="dxa" w:w="1949"/>
            <w:tcW w:w="2551" w:type="dxa"/>
          </w:tcPr>
          <w:p>
            <w:r>
              <w:t>通知消息生命周期</w:t>
            </w:r>
          </w:p>
        </w:tc>
      </w:tr>
      <w:tr>
        <w:tc>
          <w:tcPr>
            <w:tcW w:type="dxa" w:w="1949"/>
            <w:tcW w:w="680" w:type="dxa"/>
          </w:tcPr>
          <w:p>
            <w:r>
              <w:t>21</w:t>
            </w:r>
          </w:p>
        </w:tc>
        <w:tc>
          <w:tcPr>
            <w:tcW w:type="dxa" w:w="1949"/>
            <w:tcW w:w="1417" w:type="dxa"/>
          </w:tcPr>
          <w:p>
            <w:r>
              <w:t>业务扩展</w:t>
            </w:r>
          </w:p>
        </w:tc>
        <w:tc>
          <w:tcPr>
            <w:tcW w:type="dxa" w:w="1949"/>
            <w:tcW w:w="2835" w:type="dxa"/>
          </w:tcPr>
          <w:p>
            <w:r>
              <w:t>图21 登录认证活动图</w:t>
            </w:r>
          </w:p>
        </w:tc>
        <w:tc>
          <w:tcPr>
            <w:tcW w:type="dxa" w:w="1949"/>
            <w:tcW w:w="2154" w:type="dxa"/>
          </w:tcPr>
          <w:p>
            <w:r>
              <w:t>Activity Diagram</w:t>
            </w:r>
          </w:p>
        </w:tc>
        <w:tc>
          <w:tcPr>
            <w:tcW w:type="dxa" w:w="1949"/>
            <w:tcW w:w="2551" w:type="dxa"/>
          </w:tcPr>
          <w:p>
            <w:r>
              <w:t>登录认证控制流</w:t>
            </w:r>
          </w:p>
        </w:tc>
      </w:tr>
      <w:tr>
        <w:tc>
          <w:tcPr>
            <w:tcW w:type="dxa" w:w="1949"/>
            <w:tcW w:w="680" w:type="dxa"/>
          </w:tcPr>
          <w:p>
            <w:r>
              <w:t>22</w:t>
            </w:r>
          </w:p>
        </w:tc>
        <w:tc>
          <w:tcPr>
            <w:tcW w:type="dxa" w:w="1949"/>
            <w:tcW w:w="1417" w:type="dxa"/>
          </w:tcPr>
          <w:p>
            <w:r>
              <w:t>业务扩展</w:t>
            </w:r>
          </w:p>
        </w:tc>
        <w:tc>
          <w:tcPr>
            <w:tcW w:type="dxa" w:w="1949"/>
            <w:tcW w:w="2835" w:type="dxa"/>
          </w:tcPr>
          <w:p>
            <w:r>
              <w:t>图22 作业发布批改活动图</w:t>
            </w:r>
          </w:p>
        </w:tc>
        <w:tc>
          <w:tcPr>
            <w:tcW w:type="dxa" w:w="1949"/>
            <w:tcW w:w="2154" w:type="dxa"/>
          </w:tcPr>
          <w:p>
            <w:r>
              <w:t>Activity Diagram</w:t>
            </w:r>
          </w:p>
        </w:tc>
        <w:tc>
          <w:tcPr>
            <w:tcW w:type="dxa" w:w="1949"/>
            <w:tcW w:w="2551" w:type="dxa"/>
          </w:tcPr>
          <w:p>
            <w:r>
              <w:t>作业发布批改流程</w:t>
            </w:r>
          </w:p>
        </w:tc>
      </w:tr>
      <w:tr>
        <w:tc>
          <w:tcPr>
            <w:tcW w:type="dxa" w:w="1949"/>
            <w:tcW w:w="680" w:type="dxa"/>
          </w:tcPr>
          <w:p>
            <w:r>
              <w:t>23</w:t>
            </w:r>
          </w:p>
        </w:tc>
        <w:tc>
          <w:tcPr>
            <w:tcW w:type="dxa" w:w="1949"/>
            <w:tcW w:w="1417" w:type="dxa"/>
          </w:tcPr>
          <w:p>
            <w:r>
              <w:t>业务扩展</w:t>
            </w:r>
          </w:p>
        </w:tc>
        <w:tc>
          <w:tcPr>
            <w:tcW w:type="dxa" w:w="1949"/>
            <w:tcW w:w="2835" w:type="dxa"/>
          </w:tcPr>
          <w:p>
            <w:r>
              <w:t>图23 AI 分析推荐活动图</w:t>
            </w:r>
          </w:p>
        </w:tc>
        <w:tc>
          <w:tcPr>
            <w:tcW w:type="dxa" w:w="1949"/>
            <w:tcW w:w="2154" w:type="dxa"/>
          </w:tcPr>
          <w:p>
            <w:r>
              <w:t>Activity Diagram</w:t>
            </w:r>
          </w:p>
        </w:tc>
        <w:tc>
          <w:tcPr>
            <w:tcW w:type="dxa" w:w="1949"/>
            <w:tcW w:w="2551" w:type="dxa"/>
          </w:tcPr>
          <w:p>
            <w:r>
              <w:t>AI 分析推荐流程</w:t>
            </w:r>
          </w:p>
        </w:tc>
      </w:tr>
      <w:tr>
        <w:tc>
          <w:tcPr>
            <w:tcW w:type="dxa" w:w="1949"/>
            <w:tcW w:w="680" w:type="dxa"/>
          </w:tcPr>
          <w:p>
            <w:r>
              <w:t>24</w:t>
            </w:r>
          </w:p>
        </w:tc>
        <w:tc>
          <w:tcPr>
            <w:tcW w:type="dxa" w:w="1949"/>
            <w:tcW w:w="1417" w:type="dxa"/>
          </w:tcPr>
          <w:p>
            <w:r>
              <w:t>业务扩展</w:t>
            </w:r>
          </w:p>
        </w:tc>
        <w:tc>
          <w:tcPr>
            <w:tcW w:type="dxa" w:w="1949"/>
            <w:tcW w:w="2835" w:type="dxa"/>
          </w:tcPr>
          <w:p>
            <w:r>
              <w:t>图24 核心微服务组件细化图</w:t>
            </w:r>
          </w:p>
        </w:tc>
        <w:tc>
          <w:tcPr>
            <w:tcW w:type="dxa" w:w="1949"/>
            <w:tcW w:w="2154" w:type="dxa"/>
          </w:tcPr>
          <w:p>
            <w:r>
              <w:t>Component Diagram</w:t>
            </w:r>
          </w:p>
        </w:tc>
        <w:tc>
          <w:tcPr>
            <w:tcW w:type="dxa" w:w="1949"/>
            <w:tcW w:w="2551" w:type="dxa"/>
          </w:tcPr>
          <w:p>
            <w:r>
              <w:t>核心微服务依赖</w:t>
            </w:r>
          </w:p>
        </w:tc>
      </w:tr>
    </w:tbl>
    <w:p>
      <w:pPr>
        <w:pStyle w:val="Heading1"/>
      </w:pPr>
      <w:r>
        <w:t>四、课程核心 UML 图及说明</w:t>
      </w:r>
    </w:p>
    <w:p>
      <w:pPr>
        <w:pStyle w:val="Heading2"/>
      </w:pPr>
      <w:r>
        <w:t>图1 智能学习辅助系统用例图</w:t>
      </w:r>
    </w:p>
    <w:p>
      <w:pPr>
        <w:jc w:val="center"/>
      </w:pPr>
      <w:r>
        <w:drawing>
          <wp:inline xmlns:a="http://schemas.openxmlformats.org/drawingml/2006/main" xmlns:pic="http://schemas.openxmlformats.org/drawingml/2006/picture">
            <wp:extent cx="6217920" cy="3992559"/>
            <wp:docPr id="1" name="Picture 1"/>
            <wp:cNvGraphicFramePr>
              <a:graphicFrameLocks noChangeAspect="1"/>
            </wp:cNvGraphicFramePr>
            <a:graphic>
              <a:graphicData uri="http://schemas.openxmlformats.org/drawingml/2006/picture">
                <pic:pic>
                  <pic:nvPicPr>
                    <pic:cNvPr id="0" name="01-use-case.png"/>
                    <pic:cNvPicPr/>
                  </pic:nvPicPr>
                  <pic:blipFill>
                    <a:blip r:embed="rId9"/>
                    <a:stretch>
                      <a:fillRect/>
                    </a:stretch>
                  </pic:blipFill>
                  <pic:spPr>
                    <a:xfrm>
                      <a:off x="0" y="0"/>
                      <a:ext cx="6217920" cy="3992559"/>
                    </a:xfrm>
                    <a:prstGeom prst="rect"/>
                  </pic:spPr>
                </pic:pic>
              </a:graphicData>
            </a:graphic>
          </wp:inline>
        </w:drawing>
      </w:r>
    </w:p>
    <w:p>
      <w:pPr>
        <w:jc w:val="center"/>
      </w:pPr>
      <w:r>
        <w:rPr>
          <w:color w:val="4B5563"/>
          <w:sz w:val="18"/>
        </w:rPr>
        <w:t>图1 智能学习辅助系统用例图（Use Case Diagram）</w:t>
      </w:r>
    </w:p>
    <w:p>
      <w:pPr>
        <w:spacing w:after="120" w:line="300" w:lineRule="auto"/>
      </w:pPr>
      <w:r>
        <w:t>用例图以学生、教师、系统管理员和外部 AI/消息服务为参与者，概括平台对外提供的核心业务目标。学生侧重点是登录、学习课程、提交作业和考试、查看成绩预警与接收通知；教师侧重点是课程班级管理、作业考试发布、批改、分析学情、处理预警和使用 AI 生成资源；管理员负责基础数据和系统运行配置。</w:t>
      </w:r>
    </w:p>
    <w:p>
      <w:pPr>
        <w:pStyle w:val="Heading3"/>
      </w:pPr>
      <w:r>
        <w:t>建模依据</w:t>
      </w:r>
    </w:p>
    <w:p>
      <w:pPr>
        <w:ind w:left="283" w:hanging="170"/>
      </w:pPr>
      <w:r>
        <w:rPr>
          <w:b/>
        </w:rPr>
        <w:t xml:space="preserve">• </w:t>
      </w:r>
      <w:r>
        <w:t>gateway/src/main/resources/application.yml 中的 /api/student/**、/api/teacher/**、/api/auth/**、/api/ai/** 路由</w:t>
      </w:r>
    </w:p>
    <w:p>
      <w:pPr>
        <w:ind w:left="283" w:hanging="170"/>
      </w:pPr>
      <w:r>
        <w:rPr>
          <w:b/>
        </w:rPr>
        <w:t xml:space="preserve">• </w:t>
      </w:r>
      <w:r>
        <w:t>docs/service-boundary-and-monolith-shrink-plan.md 中的服务边界总表</w:t>
      </w:r>
    </w:p>
    <w:p>
      <w:pPr>
        <w:sectPr>
          <w:pgSz w:w="12240" w:h="15840"/>
          <w:pgMar w:top="1247" w:right="1247" w:bottom="1134" w:left="1247" w:header="720" w:footer="720" w:gutter="0"/>
          <w:cols w:space="720"/>
          <w:docGrid w:linePitch="360"/>
        </w:sectPr>
      </w:pPr>
    </w:p>
    <w:p>
      <w:pPr>
        <w:pStyle w:val="Heading2"/>
      </w:pPr>
      <w:r>
        <w:t>图2 智能学习辅助系统类图</w:t>
      </w:r>
    </w:p>
    <w:p>
      <w:pPr>
        <w:jc w:val="center"/>
      </w:pPr>
      <w:r>
        <w:drawing>
          <wp:inline xmlns:a="http://schemas.openxmlformats.org/drawingml/2006/main" xmlns:pic="http://schemas.openxmlformats.org/drawingml/2006/picture">
            <wp:extent cx="6217920" cy="4204498"/>
            <wp:docPr id="2" name="Picture 2"/>
            <wp:cNvGraphicFramePr>
              <a:graphicFrameLocks noChangeAspect="1"/>
            </wp:cNvGraphicFramePr>
            <a:graphic>
              <a:graphicData uri="http://schemas.openxmlformats.org/drawingml/2006/picture">
                <pic:pic>
                  <pic:nvPicPr>
                    <pic:cNvPr id="0" name="02-class.png"/>
                    <pic:cNvPicPr/>
                  </pic:nvPicPr>
                  <pic:blipFill>
                    <a:blip r:embed="rId10"/>
                    <a:stretch>
                      <a:fillRect/>
                    </a:stretch>
                  </pic:blipFill>
                  <pic:spPr>
                    <a:xfrm>
                      <a:off x="0" y="0"/>
                      <a:ext cx="6217920" cy="4204498"/>
                    </a:xfrm>
                    <a:prstGeom prst="rect"/>
                  </pic:spPr>
                </pic:pic>
              </a:graphicData>
            </a:graphic>
          </wp:inline>
        </w:drawing>
      </w:r>
    </w:p>
    <w:p>
      <w:pPr>
        <w:jc w:val="center"/>
      </w:pPr>
      <w:r>
        <w:rPr>
          <w:color w:val="4B5563"/>
          <w:sz w:val="18"/>
        </w:rPr>
        <w:t>图2 智能学习辅助系统类图（Class Diagram）</w:t>
      </w:r>
    </w:p>
    <w:p>
      <w:pPr>
        <w:spacing w:after="120" w:line="300" w:lineRule="auto"/>
      </w:pPr>
      <w:r>
        <w:t>类图按微服务内部常见的 Controller、ApplicationService、Repository、Entity/Record 分层组织，同时展示 Auth、Course、Assignment、Exam、Analysis、Notification、AI 等核心领域对象的依赖关系。图中虚线表示跨服务 API 或事件依赖，实线表示同一服务内部调用或持久化依赖。</w:t>
      </w:r>
    </w:p>
    <w:p>
      <w:pPr>
        <w:pStyle w:val="Heading3"/>
      </w:pPr>
      <w:r>
        <w:t>建模依据</w:t>
      </w:r>
    </w:p>
    <w:p>
      <w:pPr>
        <w:ind w:left="283" w:hanging="170"/>
      </w:pPr>
      <w:r>
        <w:rPr>
          <w:b/>
        </w:rPr>
        <w:t xml:space="preserve">• </w:t>
      </w:r>
      <w:r>
        <w:t>各服务 src/main/java 中的 Controller、Service、Repository、Entity/Record 类</w:t>
      </w:r>
    </w:p>
    <w:p>
      <w:pPr>
        <w:ind w:left="283" w:hanging="170"/>
      </w:pPr>
      <w:r>
        <w:rPr>
          <w:b/>
        </w:rPr>
        <w:t xml:space="preserve">• </w:t>
      </w:r>
      <w:r>
        <w:t>common-events 模块中的 ExamFinishedEvent、EarlyWarningRaisedEvent 等领域事件</w:t>
      </w:r>
    </w:p>
    <w:p>
      <w:pPr>
        <w:sectPr>
          <w:pgSz w:w="12240" w:h="15840"/>
          <w:pgMar w:top="1247" w:right="1247" w:bottom="1134" w:left="1247" w:header="720" w:footer="720" w:gutter="0"/>
          <w:cols w:space="720"/>
          <w:docGrid w:linePitch="360"/>
        </w:sectPr>
      </w:pPr>
    </w:p>
    <w:p>
      <w:pPr>
        <w:pStyle w:val="Heading2"/>
      </w:pPr>
      <w:r>
        <w:t>图3 考试提交场景对象图</w:t>
      </w:r>
    </w:p>
    <w:p>
      <w:pPr>
        <w:jc w:val="center"/>
      </w:pPr>
      <w:r>
        <w:drawing>
          <wp:inline xmlns:a="http://schemas.openxmlformats.org/drawingml/2006/main" xmlns:pic="http://schemas.openxmlformats.org/drawingml/2006/picture">
            <wp:extent cx="6217920" cy="3730752"/>
            <wp:docPr id="3" name="Picture 3"/>
            <wp:cNvGraphicFramePr>
              <a:graphicFrameLocks noChangeAspect="1"/>
            </wp:cNvGraphicFramePr>
            <a:graphic>
              <a:graphicData uri="http://schemas.openxmlformats.org/drawingml/2006/picture">
                <pic:pic>
                  <pic:nvPicPr>
                    <pic:cNvPr id="0" name="03-object.png"/>
                    <pic:cNvPicPr/>
                  </pic:nvPicPr>
                  <pic:blipFill>
                    <a:blip r:embed="rId11"/>
                    <a:stretch>
                      <a:fillRect/>
                    </a:stretch>
                  </pic:blipFill>
                  <pic:spPr>
                    <a:xfrm>
                      <a:off x="0" y="0"/>
                      <a:ext cx="6217920" cy="3730752"/>
                    </a:xfrm>
                    <a:prstGeom prst="rect"/>
                  </pic:spPr>
                </pic:pic>
              </a:graphicData>
            </a:graphic>
          </wp:inline>
        </w:drawing>
      </w:r>
    </w:p>
    <w:p>
      <w:pPr>
        <w:jc w:val="center"/>
      </w:pPr>
      <w:r>
        <w:rPr>
          <w:color w:val="4B5563"/>
          <w:sz w:val="18"/>
        </w:rPr>
        <w:t>图3 考试提交场景对象图（Object Diagram）</w:t>
      </w:r>
    </w:p>
    <w:p>
      <w:pPr>
        <w:spacing w:after="120" w:line="300" w:lineRule="auto"/>
      </w:pPr>
      <w:r>
        <w:t>对象图描述一次具体考试提交后的运行时对象快照。示例中学生张三通过网关提交考试，ExamSubmissionRecord 保存提交事实，ExamFinishedEvent 进入 outbox 后由分析服务消费，最终形成掌握度、成绩趋势、预警和通知对象。</w:t>
      </w:r>
    </w:p>
    <w:p>
      <w:pPr>
        <w:pStyle w:val="Heading3"/>
      </w:pPr>
      <w:r>
        <w:t>建模依据</w:t>
      </w:r>
    </w:p>
    <w:p>
      <w:pPr>
        <w:ind w:left="283" w:hanging="170"/>
      </w:pPr>
      <w:r>
        <w:rPr>
          <w:b/>
        </w:rPr>
        <w:t xml:space="preserve">• </w:t>
      </w:r>
      <w:r>
        <w:t>exam-service/domain/ExamSubmissionRecord.java 字段 examId、studentId、timeTaken、graded、score</w:t>
      </w:r>
    </w:p>
    <w:p>
      <w:pPr>
        <w:ind w:left="283" w:hanging="170"/>
      </w:pPr>
      <w:r>
        <w:rPr>
          <w:b/>
        </w:rPr>
        <w:t xml:space="preserve">• </w:t>
      </w:r>
      <w:r>
        <w:t>analysis-service/repository/EarlyWarningEntity.java 与 notification-service/repository/NotificationEntity.java</w:t>
      </w:r>
    </w:p>
    <w:p>
      <w:pPr>
        <w:sectPr>
          <w:pgSz w:w="12240" w:h="15840"/>
          <w:pgMar w:top="1247" w:right="1247" w:bottom="1134" w:left="1247" w:header="720" w:footer="720" w:gutter="0"/>
          <w:cols w:space="720"/>
          <w:docGrid w:linePitch="360"/>
        </w:sectPr>
      </w:pPr>
    </w:p>
    <w:p>
      <w:pPr>
        <w:pStyle w:val="Heading2"/>
      </w:pPr>
      <w:r>
        <w:t>图4 学生考试提交顺序图</w:t>
      </w:r>
    </w:p>
    <w:p>
      <w:pPr>
        <w:jc w:val="center"/>
      </w:pPr>
      <w:r>
        <w:drawing>
          <wp:inline xmlns:a="http://schemas.openxmlformats.org/drawingml/2006/main" xmlns:pic="http://schemas.openxmlformats.org/drawingml/2006/picture">
            <wp:extent cx="6217920" cy="4248172"/>
            <wp:docPr id="4" name="Picture 4"/>
            <wp:cNvGraphicFramePr>
              <a:graphicFrameLocks noChangeAspect="1"/>
            </wp:cNvGraphicFramePr>
            <a:graphic>
              <a:graphicData uri="http://schemas.openxmlformats.org/drawingml/2006/picture">
                <pic:pic>
                  <pic:nvPicPr>
                    <pic:cNvPr id="0" name="04-sequence.png"/>
                    <pic:cNvPicPr/>
                  </pic:nvPicPr>
                  <pic:blipFill>
                    <a:blip r:embed="rId12"/>
                    <a:stretch>
                      <a:fillRect/>
                    </a:stretch>
                  </pic:blipFill>
                  <pic:spPr>
                    <a:xfrm>
                      <a:off x="0" y="0"/>
                      <a:ext cx="6217920" cy="4248172"/>
                    </a:xfrm>
                    <a:prstGeom prst="rect"/>
                  </pic:spPr>
                </pic:pic>
              </a:graphicData>
            </a:graphic>
          </wp:inline>
        </w:drawing>
      </w:r>
    </w:p>
    <w:p>
      <w:pPr>
        <w:jc w:val="center"/>
      </w:pPr>
      <w:r>
        <w:rPr>
          <w:color w:val="4B5563"/>
          <w:sz w:val="18"/>
        </w:rPr>
        <w:t>图4 学生考试提交顺序图（Sequence Diagram）</w:t>
      </w:r>
    </w:p>
    <w:p>
      <w:pPr>
        <w:spacing w:after="120" w:line="300" w:lineRule="auto"/>
      </w:pPr>
      <w:r>
        <w:t>顺序图选择“学生提交考试并触发分析通知”作为核心业务场景。浏览器请求先经 Gateway 鉴权、限流和熔断，再进入 exam-service 保存提交、自动阅卷和写 outbox；RabbitMQ 将 ExamFinishedEvent 分发给 analysis-service 与 notification-service，完成成绩趋势、知识点掌握、预警和通知更新。</w:t>
      </w:r>
    </w:p>
    <w:p>
      <w:pPr>
        <w:pStyle w:val="Heading3"/>
      </w:pPr>
      <w:r>
        <w:t>建模依据</w:t>
      </w:r>
    </w:p>
    <w:p>
      <w:pPr>
        <w:ind w:left="283" w:hanging="170"/>
      </w:pPr>
      <w:r>
        <w:rPr>
          <w:b/>
        </w:rPr>
        <w:t xml:space="preserve">• </w:t>
      </w:r>
      <w:r>
        <w:t>gateway/application.yml 的 student-exam-submit-route</w:t>
      </w:r>
    </w:p>
    <w:p>
      <w:pPr>
        <w:ind w:left="283" w:hanging="170"/>
      </w:pPr>
      <w:r>
        <w:rPr>
          <w:b/>
        </w:rPr>
        <w:t xml:space="preserve">• </w:t>
      </w:r>
      <w:r>
        <w:t>ExamApplicationService 中 submitExam、autoGradeIfPossible、persistExamFinishedEvent 相关方法</w:t>
      </w:r>
    </w:p>
    <w:p>
      <w:pPr>
        <w:ind w:left="283" w:hanging="170"/>
      </w:pPr>
      <w:r>
        <w:rPr>
          <w:b/>
        </w:rPr>
        <w:t xml:space="preserve">• </w:t>
      </w:r>
      <w:r>
        <w:t>common-events 中的 ExamFinishedEvent</w:t>
      </w:r>
    </w:p>
    <w:p>
      <w:pPr>
        <w:sectPr>
          <w:pgSz w:w="12240" w:h="15840"/>
          <w:pgMar w:top="1247" w:right="1247" w:bottom="1134" w:left="1247" w:header="720" w:footer="720" w:gutter="0"/>
          <w:cols w:space="720"/>
          <w:docGrid w:linePitch="360"/>
        </w:sectPr>
      </w:pPr>
    </w:p>
    <w:p>
      <w:pPr>
        <w:pStyle w:val="Heading2"/>
      </w:pPr>
      <w:r>
        <w:t>图5 学生考试提交协作图</w:t>
      </w:r>
    </w:p>
    <w:p>
      <w:pPr>
        <w:jc w:val="center"/>
      </w:pPr>
      <w:r>
        <w:drawing>
          <wp:inline xmlns:a="http://schemas.openxmlformats.org/drawingml/2006/main" xmlns:pic="http://schemas.openxmlformats.org/drawingml/2006/picture">
            <wp:extent cx="6217920" cy="3868928"/>
            <wp:docPr id="5" name="Picture 5"/>
            <wp:cNvGraphicFramePr>
              <a:graphicFrameLocks noChangeAspect="1"/>
            </wp:cNvGraphicFramePr>
            <a:graphic>
              <a:graphicData uri="http://schemas.openxmlformats.org/drawingml/2006/picture">
                <pic:pic>
                  <pic:nvPicPr>
                    <pic:cNvPr id="0" name="05-communication.png"/>
                    <pic:cNvPicPr/>
                  </pic:nvPicPr>
                  <pic:blipFill>
                    <a:blip r:embed="rId13"/>
                    <a:stretch>
                      <a:fillRect/>
                    </a:stretch>
                  </pic:blipFill>
                  <pic:spPr>
                    <a:xfrm>
                      <a:off x="0" y="0"/>
                      <a:ext cx="6217920" cy="3868928"/>
                    </a:xfrm>
                    <a:prstGeom prst="rect"/>
                  </pic:spPr>
                </pic:pic>
              </a:graphicData>
            </a:graphic>
          </wp:inline>
        </w:drawing>
      </w:r>
    </w:p>
    <w:p>
      <w:pPr>
        <w:jc w:val="center"/>
      </w:pPr>
      <w:r>
        <w:rPr>
          <w:color w:val="4B5563"/>
          <w:sz w:val="18"/>
        </w:rPr>
        <w:t>图5 学生考试提交协作图（Communication Diagram）</w:t>
      </w:r>
    </w:p>
    <w:p>
      <w:pPr>
        <w:spacing w:after="120" w:line="300" w:lineRule="auto"/>
      </w:pPr>
      <w:r>
        <w:t>协作图从对象协同角度重新表达同一考试提交场景，重点不是时间轴，而是对象之间的链接和消息编号。可以看到前端、Gateway、考试服务、数据库、消息队列、分析服务和通知服务各自承担的协作责任。</w:t>
      </w:r>
    </w:p>
    <w:p>
      <w:pPr>
        <w:pStyle w:val="Heading3"/>
      </w:pPr>
      <w:r>
        <w:t>建模依据</w:t>
      </w:r>
    </w:p>
    <w:p>
      <w:pPr>
        <w:ind w:left="283" w:hanging="170"/>
      </w:pPr>
      <w:r>
        <w:rPr>
          <w:b/>
        </w:rPr>
        <w:t xml:space="preserve">• </w:t>
      </w:r>
      <w:r>
        <w:t>Gateway 路由、ExamApplicationService、Outbox/RabbitMQ、Analysis/Notification 消费处理链</w:t>
      </w:r>
    </w:p>
    <w:p>
      <w:pPr>
        <w:sectPr>
          <w:pgSz w:w="12240" w:h="15840"/>
          <w:pgMar w:top="1247" w:right="1247" w:bottom="1134" w:left="1247" w:header="720" w:footer="720" w:gutter="0"/>
          <w:cols w:space="720"/>
          <w:docGrid w:linePitch="360"/>
        </w:sectPr>
      </w:pPr>
    </w:p>
    <w:p>
      <w:pPr>
        <w:pStyle w:val="Heading2"/>
      </w:pPr>
      <w:r>
        <w:t>图6 考试提交记录状态图</w:t>
      </w:r>
    </w:p>
    <w:p>
      <w:pPr>
        <w:jc w:val="center"/>
      </w:pPr>
      <w:r>
        <w:drawing>
          <wp:inline xmlns:a="http://schemas.openxmlformats.org/drawingml/2006/main" xmlns:pic="http://schemas.openxmlformats.org/drawingml/2006/picture">
            <wp:extent cx="6217920" cy="3992559"/>
            <wp:docPr id="6" name="Picture 6"/>
            <wp:cNvGraphicFramePr>
              <a:graphicFrameLocks noChangeAspect="1"/>
            </wp:cNvGraphicFramePr>
            <a:graphic>
              <a:graphicData uri="http://schemas.openxmlformats.org/drawingml/2006/picture">
                <pic:pic>
                  <pic:nvPicPr>
                    <pic:cNvPr id="0" name="06-state.png"/>
                    <pic:cNvPicPr/>
                  </pic:nvPicPr>
                  <pic:blipFill>
                    <a:blip r:embed="rId14"/>
                    <a:stretch>
                      <a:fillRect/>
                    </a:stretch>
                  </pic:blipFill>
                  <pic:spPr>
                    <a:xfrm>
                      <a:off x="0" y="0"/>
                      <a:ext cx="6217920" cy="3992559"/>
                    </a:xfrm>
                    <a:prstGeom prst="rect"/>
                  </pic:spPr>
                </pic:pic>
              </a:graphicData>
            </a:graphic>
          </wp:inline>
        </w:drawing>
      </w:r>
    </w:p>
    <w:p>
      <w:pPr>
        <w:jc w:val="center"/>
      </w:pPr>
      <w:r>
        <w:rPr>
          <w:color w:val="4B5563"/>
          <w:sz w:val="18"/>
        </w:rPr>
        <w:t>图6 考试提交记录状态图（Statechart Diagram）</w:t>
      </w:r>
    </w:p>
    <w:p>
      <w:pPr>
        <w:spacing w:after="120" w:line="300" w:lineRule="auto"/>
      </w:pPr>
      <w:r>
        <w:t>状态图选择 ExamSubmissionRecord 作为生命周期对象。从未提交开始，学生提交后进入已提交；客观题可自动阅卷进入已评分，主观题或异常情况进入待人工批改；教师复核后完成归档，异常情况下可回退为需重提交。该对象有清晰的状态迁移，适合状态图建模。</w:t>
      </w:r>
    </w:p>
    <w:p>
      <w:pPr>
        <w:pStyle w:val="Heading3"/>
      </w:pPr>
      <w:r>
        <w:t>建模依据</w:t>
      </w:r>
    </w:p>
    <w:p>
      <w:pPr>
        <w:ind w:left="283" w:hanging="170"/>
      </w:pPr>
      <w:r>
        <w:rPr>
          <w:b/>
        </w:rPr>
        <w:t xml:space="preserve">• </w:t>
      </w:r>
      <w:r>
        <w:t>ExamSubmissionRecord 中 graded、score、teacherComment 字段</w:t>
      </w:r>
    </w:p>
    <w:p>
      <w:pPr>
        <w:ind w:left="283" w:hanging="170"/>
      </w:pPr>
      <w:r>
        <w:rPr>
          <w:b/>
        </w:rPr>
        <w:t xml:space="preserve">• </w:t>
      </w:r>
      <w:r>
        <w:t>ExamApplicationService 的自动阅卷和教师批改相关路径</w:t>
      </w:r>
    </w:p>
    <w:p>
      <w:pPr>
        <w:sectPr>
          <w:pgSz w:w="12240" w:h="15840"/>
          <w:pgMar w:top="1247" w:right="1247" w:bottom="1134" w:left="1247" w:header="720" w:footer="720" w:gutter="0"/>
          <w:cols w:space="720"/>
          <w:docGrid w:linePitch="360"/>
        </w:sectPr>
      </w:pPr>
    </w:p>
    <w:p>
      <w:pPr>
        <w:pStyle w:val="Heading2"/>
      </w:pPr>
      <w:r>
        <w:t>图7 考试提交与分析活动图</w:t>
      </w:r>
    </w:p>
    <w:p>
      <w:pPr>
        <w:jc w:val="center"/>
      </w:pPr>
      <w:r>
        <w:drawing>
          <wp:inline xmlns:a="http://schemas.openxmlformats.org/drawingml/2006/main" xmlns:pic="http://schemas.openxmlformats.org/drawingml/2006/picture">
            <wp:extent cx="6217920" cy="6545179"/>
            <wp:docPr id="7" name="Picture 7"/>
            <wp:cNvGraphicFramePr>
              <a:graphicFrameLocks noChangeAspect="1"/>
            </wp:cNvGraphicFramePr>
            <a:graphic>
              <a:graphicData uri="http://schemas.openxmlformats.org/drawingml/2006/picture">
                <pic:pic>
                  <pic:nvPicPr>
                    <pic:cNvPr id="0" name="07-activity.png"/>
                    <pic:cNvPicPr/>
                  </pic:nvPicPr>
                  <pic:blipFill>
                    <a:blip r:embed="rId15"/>
                    <a:stretch>
                      <a:fillRect/>
                    </a:stretch>
                  </pic:blipFill>
                  <pic:spPr>
                    <a:xfrm>
                      <a:off x="0" y="0"/>
                      <a:ext cx="6217920" cy="6545179"/>
                    </a:xfrm>
                    <a:prstGeom prst="rect"/>
                  </pic:spPr>
                </pic:pic>
              </a:graphicData>
            </a:graphic>
          </wp:inline>
        </w:drawing>
      </w:r>
    </w:p>
    <w:p>
      <w:pPr>
        <w:jc w:val="center"/>
      </w:pPr>
      <w:r>
        <w:rPr>
          <w:color w:val="4B5563"/>
          <w:sz w:val="18"/>
        </w:rPr>
        <w:t>图7 考试提交与分析活动图（Activity Diagram）</w:t>
      </w:r>
    </w:p>
    <w:p>
      <w:pPr>
        <w:spacing w:after="120" w:line="300" w:lineRule="auto"/>
      </w:pPr>
      <w:r>
        <w:t>活动图展示从学生提交考试到分析通知完成的控制流。图中包含登录校验、考试开放校验、保存提交、自动/人工批改分支、事件发布、分析更新和通知生成，体现了同步请求与异步事件处理的结合。</w:t>
      </w:r>
    </w:p>
    <w:p>
      <w:pPr>
        <w:pStyle w:val="Heading3"/>
      </w:pPr>
      <w:r>
        <w:t>建模依据</w:t>
      </w:r>
    </w:p>
    <w:p>
      <w:pPr>
        <w:ind w:left="283" w:hanging="170"/>
      </w:pPr>
      <w:r>
        <w:rPr>
          <w:b/>
        </w:rPr>
        <w:t xml:space="preserve">• </w:t>
      </w:r>
      <w:r>
        <w:t>Gateway 的鉴权与 student-exam-submit-route</w:t>
      </w:r>
    </w:p>
    <w:p>
      <w:pPr>
        <w:ind w:left="283" w:hanging="170"/>
      </w:pPr>
      <w:r>
        <w:rPr>
          <w:b/>
        </w:rPr>
        <w:t xml:space="preserve">• </w:t>
      </w:r>
      <w:r>
        <w:t>exam-service 保存提交和 outbox 事件发布</w:t>
      </w:r>
    </w:p>
    <w:p>
      <w:pPr>
        <w:ind w:left="283" w:hanging="170"/>
      </w:pPr>
      <w:r>
        <w:rPr>
          <w:b/>
        </w:rPr>
        <w:t xml:space="preserve">• </w:t>
      </w:r>
      <w:r>
        <w:t>analysis-service、notification-service 的事件消费职责</w:t>
      </w:r>
    </w:p>
    <w:p>
      <w:pPr>
        <w:sectPr>
          <w:pgSz w:w="12240" w:h="15840"/>
          <w:pgMar w:top="1247" w:right="1247" w:bottom="1134" w:left="1247" w:header="720" w:footer="720" w:gutter="0"/>
          <w:cols w:space="720"/>
          <w:docGrid w:linePitch="360"/>
        </w:sectPr>
      </w:pPr>
    </w:p>
    <w:p>
      <w:pPr>
        <w:pStyle w:val="Heading2"/>
      </w:pPr>
      <w:r>
        <w:t>图8 智能学习辅助系统组件图</w:t>
      </w:r>
    </w:p>
    <w:p>
      <w:pPr>
        <w:jc w:val="center"/>
      </w:pPr>
      <w:r>
        <w:drawing>
          <wp:inline xmlns:a="http://schemas.openxmlformats.org/drawingml/2006/main" xmlns:pic="http://schemas.openxmlformats.org/drawingml/2006/picture">
            <wp:extent cx="6217920" cy="4204498"/>
            <wp:docPr id="8" name="Picture 8"/>
            <wp:cNvGraphicFramePr>
              <a:graphicFrameLocks noChangeAspect="1"/>
            </wp:cNvGraphicFramePr>
            <a:graphic>
              <a:graphicData uri="http://schemas.openxmlformats.org/drawingml/2006/picture">
                <pic:pic>
                  <pic:nvPicPr>
                    <pic:cNvPr id="0" name="08-component.png"/>
                    <pic:cNvPicPr/>
                  </pic:nvPicPr>
                  <pic:blipFill>
                    <a:blip r:embed="rId16"/>
                    <a:stretch>
                      <a:fillRect/>
                    </a:stretch>
                  </pic:blipFill>
                  <pic:spPr>
                    <a:xfrm>
                      <a:off x="0" y="0"/>
                      <a:ext cx="6217920" cy="4204498"/>
                    </a:xfrm>
                    <a:prstGeom prst="rect"/>
                  </pic:spPr>
                </pic:pic>
              </a:graphicData>
            </a:graphic>
          </wp:inline>
        </w:drawing>
      </w:r>
    </w:p>
    <w:p>
      <w:pPr>
        <w:jc w:val="center"/>
      </w:pPr>
      <w:r>
        <w:rPr>
          <w:color w:val="4B5563"/>
          <w:sz w:val="18"/>
        </w:rPr>
        <w:t>图8 智能学习辅助系统组件图（Component Diagram）</w:t>
      </w:r>
    </w:p>
    <w:p>
      <w:pPr>
        <w:spacing w:after="120" w:line="300" w:lineRule="auto"/>
      </w:pPr>
      <w:r>
        <w:t>组件图展示平台从前端到网关、注册中心、业务微服务、公共模块、事件总线和数据存储的静态组件依赖。每个业务服务只拥有自己的 schema，通过 Feign/API 契约或领域事件协作，旧单体和 legacy-adapter 作为迁移期兼容组件保留。</w:t>
      </w:r>
    </w:p>
    <w:p>
      <w:pPr>
        <w:pStyle w:val="Heading3"/>
      </w:pPr>
      <w:r>
        <w:t>建模依据</w:t>
      </w:r>
    </w:p>
    <w:p>
      <w:pPr>
        <w:ind w:left="283" w:hanging="170"/>
      </w:pPr>
      <w:r>
        <w:rPr>
          <w:b/>
        </w:rPr>
        <w:t xml:space="preserve">• </w:t>
      </w:r>
      <w:r>
        <w:t>根 pom.xml 聚合模块列表</w:t>
      </w:r>
    </w:p>
    <w:p>
      <w:pPr>
        <w:ind w:left="283" w:hanging="170"/>
      </w:pPr>
      <w:r>
        <w:rPr>
          <w:b/>
        </w:rPr>
        <w:t xml:space="preserve">• </w:t>
      </w:r>
      <w:r>
        <w:t>docs/data-ownership.md 的服务与数据库映射</w:t>
      </w:r>
    </w:p>
    <w:p>
      <w:pPr>
        <w:ind w:left="283" w:hanging="170"/>
      </w:pPr>
      <w:r>
        <w:rPr>
          <w:b/>
        </w:rPr>
        <w:t xml:space="preserve">• </w:t>
      </w:r>
      <w:r>
        <w:t>docker-compose.yml 的服务编排</w:t>
      </w:r>
    </w:p>
    <w:p>
      <w:pPr>
        <w:sectPr>
          <w:pgSz w:w="12240" w:h="15840"/>
          <w:pgMar w:top="1247" w:right="1247" w:bottom="1134" w:left="1247" w:header="720" w:footer="720" w:gutter="0"/>
          <w:cols w:space="720"/>
          <w:docGrid w:linePitch="360"/>
        </w:sectPr>
      </w:pPr>
    </w:p>
    <w:p>
      <w:pPr>
        <w:pStyle w:val="Heading2"/>
      </w:pPr>
      <w:r>
        <w:t>图9 Docker Compose 部署图</w:t>
      </w:r>
    </w:p>
    <w:p>
      <w:pPr>
        <w:jc w:val="center"/>
      </w:pPr>
      <w:r>
        <w:drawing>
          <wp:inline xmlns:a="http://schemas.openxmlformats.org/drawingml/2006/main" xmlns:pic="http://schemas.openxmlformats.org/drawingml/2006/picture">
            <wp:extent cx="6217920" cy="4204498"/>
            <wp:docPr id="9" name="Picture 9"/>
            <wp:cNvGraphicFramePr>
              <a:graphicFrameLocks noChangeAspect="1"/>
            </wp:cNvGraphicFramePr>
            <a:graphic>
              <a:graphicData uri="http://schemas.openxmlformats.org/drawingml/2006/picture">
                <pic:pic>
                  <pic:nvPicPr>
                    <pic:cNvPr id="0" name="09-deployment.png"/>
                    <pic:cNvPicPr/>
                  </pic:nvPicPr>
                  <pic:blipFill>
                    <a:blip r:embed="rId17"/>
                    <a:stretch>
                      <a:fillRect/>
                    </a:stretch>
                  </pic:blipFill>
                  <pic:spPr>
                    <a:xfrm>
                      <a:off x="0" y="0"/>
                      <a:ext cx="6217920" cy="4204498"/>
                    </a:xfrm>
                    <a:prstGeom prst="rect"/>
                  </pic:spPr>
                </pic:pic>
              </a:graphicData>
            </a:graphic>
          </wp:inline>
        </w:drawing>
      </w:r>
    </w:p>
    <w:p>
      <w:pPr>
        <w:jc w:val="center"/>
      </w:pPr>
      <w:r>
        <w:rPr>
          <w:color w:val="4B5563"/>
          <w:sz w:val="18"/>
        </w:rPr>
        <w:t>图9 Docker Compose 部署图（Deployment Diagram）</w:t>
      </w:r>
    </w:p>
    <w:p>
      <w:pPr>
        <w:spacing w:after="120" w:line="300" w:lineRule="auto"/>
      </w:pPr>
      <w:r>
        <w:t>部署图依据 docker-compose.yml 表示本地/测试环境的运行拓扑。浏览器访问前端和 Gateway，Gateway 通过 Eureka 发现业务服务；各服务连接 MySQL 多 schema，认证与网关使用 Redis，作业/考试/分析/通知通过 RabbitMQ 协作，Prometheus 与 Grafana 提供观测能力。</w:t>
      </w:r>
    </w:p>
    <w:p>
      <w:pPr>
        <w:pStyle w:val="Heading3"/>
      </w:pPr>
      <w:r>
        <w:t>建模依据</w:t>
      </w:r>
    </w:p>
    <w:p>
      <w:pPr>
        <w:ind w:left="283" w:hanging="170"/>
      </w:pPr>
      <w:r>
        <w:rPr>
          <w:b/>
        </w:rPr>
        <w:t xml:space="preserve">• </w:t>
      </w:r>
      <w:r>
        <w:t>docker-compose.yml 中 qimo-platform 网络、端口、容器和依赖关系</w:t>
      </w:r>
    </w:p>
    <w:p>
      <w:pPr>
        <w:ind w:left="283" w:hanging="170"/>
      </w:pPr>
      <w:r>
        <w:rPr>
          <w:b/>
        </w:rPr>
        <w:t xml:space="preserve">• </w:t>
      </w:r>
      <w:r>
        <w:t>docs/deployment.md 中本地编排和中间件说明</w:t>
      </w:r>
    </w:p>
    <w:p>
      <w:pPr>
        <w:sectPr>
          <w:pgSz w:w="12240" w:h="15840"/>
          <w:pgMar w:top="1247" w:right="1247" w:bottom="1134" w:left="1247" w:header="720" w:footer="720" w:gutter="0"/>
          <w:cols w:space="720"/>
          <w:docGrid w:linePitch="360"/>
        </w:sectPr>
      </w:pPr>
    </w:p>
    <w:p>
      <w:pPr>
        <w:pStyle w:val="Heading1"/>
      </w:pPr>
      <w:r>
        <w:t>五、智能学习业务扩展 UML 图及说明</w:t>
      </w:r>
    </w:p>
    <w:p>
      <w:pPr>
        <w:pStyle w:val="Heading2"/>
      </w:pPr>
      <w:r>
        <w:t>图10 角色分组用例图</w:t>
      </w:r>
    </w:p>
    <w:p>
      <w:pPr>
        <w:jc w:val="center"/>
      </w:pPr>
      <w:r>
        <w:drawing>
          <wp:inline xmlns:a="http://schemas.openxmlformats.org/drawingml/2006/main" xmlns:pic="http://schemas.openxmlformats.org/drawingml/2006/picture">
            <wp:extent cx="6217920" cy="3992559"/>
            <wp:docPr id="10" name="Picture 10"/>
            <wp:cNvGraphicFramePr>
              <a:graphicFrameLocks noChangeAspect="1"/>
            </wp:cNvGraphicFramePr>
            <a:graphic>
              <a:graphicData uri="http://schemas.openxmlformats.org/drawingml/2006/picture">
                <pic:pic>
                  <pic:nvPicPr>
                    <pic:cNvPr id="0" name="10-role-use-case.png"/>
                    <pic:cNvPicPr/>
                  </pic:nvPicPr>
                  <pic:blipFill>
                    <a:blip r:embed="rId18"/>
                    <a:stretch>
                      <a:fillRect/>
                    </a:stretch>
                  </pic:blipFill>
                  <pic:spPr>
                    <a:xfrm>
                      <a:off x="0" y="0"/>
                      <a:ext cx="6217920" cy="3992559"/>
                    </a:xfrm>
                    <a:prstGeom prst="rect"/>
                  </pic:spPr>
                </pic:pic>
              </a:graphicData>
            </a:graphic>
          </wp:inline>
        </w:drawing>
      </w:r>
    </w:p>
    <w:p>
      <w:pPr>
        <w:jc w:val="center"/>
      </w:pPr>
      <w:r>
        <w:rPr>
          <w:color w:val="4B5563"/>
          <w:sz w:val="18"/>
        </w:rPr>
        <w:t>图10 角色分组用例图（Use Case Diagram）</w:t>
      </w:r>
    </w:p>
    <w:p>
      <w:pPr>
        <w:spacing w:after="120" w:line="300" w:lineRule="auto"/>
      </w:pPr>
      <w:r>
        <w:t>角色分组用例图在系统总用例图基础上进一步拆分学生、教师和管理员的典型目标。学生关注学习、提交、成绩和通知；教师关注课程、作业、考试、分析和 AI 辅助；管理员关注账号、角色、字典和运行配置。</w:t>
      </w:r>
    </w:p>
    <w:p>
      <w:pPr>
        <w:pStyle w:val="Heading3"/>
      </w:pPr>
      <w:r>
        <w:t>建模依据</w:t>
      </w:r>
    </w:p>
    <w:p>
      <w:pPr>
        <w:ind w:left="283" w:hanging="170"/>
      </w:pPr>
      <w:r>
        <w:rPr>
          <w:b/>
        </w:rPr>
        <w:t xml:space="preserve">• </w:t>
      </w:r>
      <w:r>
        <w:t>gateway 路由按 /api/student/**、/api/teacher/**、/api/admin/** 与 /api/auth/** 分组</w:t>
      </w:r>
    </w:p>
    <w:p>
      <w:pPr>
        <w:ind w:left="283" w:hanging="170"/>
      </w:pPr>
      <w:r>
        <w:rPr>
          <w:b/>
        </w:rPr>
        <w:t xml:space="preserve">• </w:t>
      </w:r>
      <w:r>
        <w:t>major_assignment 静态页面中 student/teacher 管理入口与迁移后各微服务接口职责</w:t>
      </w:r>
    </w:p>
    <w:p>
      <w:pPr>
        <w:sectPr>
          <w:pgSz w:w="12240" w:h="15840"/>
          <w:pgMar w:top="1247" w:right="1247" w:bottom="1134" w:left="1247" w:header="720" w:footer="720" w:gutter="0"/>
          <w:cols w:space="720"/>
          <w:docGrid w:linePitch="360"/>
        </w:sectPr>
      </w:pPr>
    </w:p>
    <w:p>
      <w:pPr>
        <w:pStyle w:val="Heading2"/>
      </w:pPr>
      <w:r>
        <w:t>图11 考试作业核心类图</w:t>
      </w:r>
    </w:p>
    <w:p>
      <w:pPr>
        <w:jc w:val="center"/>
      </w:pPr>
      <w:r>
        <w:drawing>
          <wp:inline xmlns:a="http://schemas.openxmlformats.org/drawingml/2006/main" xmlns:pic="http://schemas.openxmlformats.org/drawingml/2006/picture">
            <wp:extent cx="6217920" cy="3992559"/>
            <wp:docPr id="11" name="Picture 11"/>
            <wp:cNvGraphicFramePr>
              <a:graphicFrameLocks noChangeAspect="1"/>
            </wp:cNvGraphicFramePr>
            <a:graphic>
              <a:graphicData uri="http://schemas.openxmlformats.org/drawingml/2006/picture">
                <pic:pic>
                  <pic:nvPicPr>
                    <pic:cNvPr id="0" name="11-exam-assignment-class.png"/>
                    <pic:cNvPicPr/>
                  </pic:nvPicPr>
                  <pic:blipFill>
                    <a:blip r:embed="rId19"/>
                    <a:stretch>
                      <a:fillRect/>
                    </a:stretch>
                  </pic:blipFill>
                  <pic:spPr>
                    <a:xfrm>
                      <a:off x="0" y="0"/>
                      <a:ext cx="6217920" cy="3992559"/>
                    </a:xfrm>
                    <a:prstGeom prst="rect"/>
                  </pic:spPr>
                </pic:pic>
              </a:graphicData>
            </a:graphic>
          </wp:inline>
        </w:drawing>
      </w:r>
    </w:p>
    <w:p>
      <w:pPr>
        <w:jc w:val="center"/>
      </w:pPr>
      <w:r>
        <w:rPr>
          <w:color w:val="4B5563"/>
          <w:sz w:val="18"/>
        </w:rPr>
        <w:t>图11 考试作业核心类图（Class Diagram）</w:t>
      </w:r>
    </w:p>
    <w:p>
      <w:pPr>
        <w:spacing w:after="120" w:line="300" w:lineRule="auto"/>
      </w:pPr>
      <w:r>
        <w:t>考试作业核心类图抽取 assignment-service 与 exam-service 的共同业务结构。作业和考试都围绕课程、班级发布范围、学生提交、教师批改、成绩事件展开，适合放在一张图中比较两条评价链路。</w:t>
      </w:r>
    </w:p>
    <w:p>
      <w:pPr>
        <w:pStyle w:val="Heading3"/>
      </w:pPr>
      <w:r>
        <w:t>建模依据</w:t>
      </w:r>
    </w:p>
    <w:p>
      <w:pPr>
        <w:ind w:left="283" w:hanging="170"/>
      </w:pPr>
      <w:r>
        <w:rPr>
          <w:b/>
        </w:rPr>
        <w:t xml:space="preserve">• </w:t>
      </w:r>
      <w:r>
        <w:t>assignment-service-api 与 exam-service-api 中的发布、提交、批改 DTO</w:t>
      </w:r>
    </w:p>
    <w:p>
      <w:pPr>
        <w:ind w:left="283" w:hanging="170"/>
      </w:pPr>
      <w:r>
        <w:rPr>
          <w:b/>
        </w:rPr>
        <w:t xml:space="preserve">• </w:t>
      </w:r>
      <w:r>
        <w:t>ExamFinishedEvent、AssignmentGradedEvent 等评价结果事件</w:t>
      </w:r>
    </w:p>
    <w:p>
      <w:pPr>
        <w:sectPr>
          <w:pgSz w:w="12240" w:h="15840"/>
          <w:pgMar w:top="1247" w:right="1247" w:bottom="1134" w:left="1247" w:header="720" w:footer="720" w:gutter="0"/>
          <w:cols w:space="720"/>
          <w:docGrid w:linePitch="360"/>
        </w:sectPr>
      </w:pPr>
    </w:p>
    <w:p>
      <w:pPr>
        <w:pStyle w:val="Heading2"/>
      </w:pPr>
      <w:r>
        <w:t>图12 用户课程权限类图</w:t>
      </w:r>
    </w:p>
    <w:p>
      <w:pPr>
        <w:jc w:val="center"/>
      </w:pPr>
      <w:r>
        <w:drawing>
          <wp:inline xmlns:a="http://schemas.openxmlformats.org/drawingml/2006/main" xmlns:pic="http://schemas.openxmlformats.org/drawingml/2006/picture">
            <wp:extent cx="6217920" cy="3992559"/>
            <wp:docPr id="12" name="Picture 12"/>
            <wp:cNvGraphicFramePr>
              <a:graphicFrameLocks noChangeAspect="1"/>
            </wp:cNvGraphicFramePr>
            <a:graphic>
              <a:graphicData uri="http://schemas.openxmlformats.org/drawingml/2006/picture">
                <pic:pic>
                  <pic:nvPicPr>
                    <pic:cNvPr id="0" name="12-user-course-permission-class.png"/>
                    <pic:cNvPicPr/>
                  </pic:nvPicPr>
                  <pic:blipFill>
                    <a:blip r:embed="rId20"/>
                    <a:stretch>
                      <a:fillRect/>
                    </a:stretch>
                  </pic:blipFill>
                  <pic:spPr>
                    <a:xfrm>
                      <a:off x="0" y="0"/>
                      <a:ext cx="6217920" cy="3992559"/>
                    </a:xfrm>
                    <a:prstGeom prst="rect"/>
                  </pic:spPr>
                </pic:pic>
              </a:graphicData>
            </a:graphic>
          </wp:inline>
        </w:drawing>
      </w:r>
    </w:p>
    <w:p>
      <w:pPr>
        <w:jc w:val="center"/>
      </w:pPr>
      <w:r>
        <w:rPr>
          <w:color w:val="4B5563"/>
          <w:sz w:val="18"/>
        </w:rPr>
        <w:t>图12 用户课程权限类图（Class Diagram）</w:t>
      </w:r>
    </w:p>
    <w:p>
      <w:pPr>
        <w:spacing w:after="120" w:line="300" w:lineRule="auto"/>
      </w:pPr>
      <w:r>
        <w:t>用户课程权限类图描述账号、角色、学生档案、教师授课、班级学生和课程之间的静态关系。该图用于说明 Gateway 与各服务鉴权后，业务服务如何根据课程、班级和角色关系判断数据访问范围。</w:t>
      </w:r>
    </w:p>
    <w:p>
      <w:pPr>
        <w:pStyle w:val="Heading3"/>
      </w:pPr>
      <w:r>
        <w:t>建模依据</w:t>
      </w:r>
    </w:p>
    <w:p>
      <w:pPr>
        <w:ind w:left="283" w:hanging="170"/>
      </w:pPr>
      <w:r>
        <w:rPr>
          <w:b/>
        </w:rPr>
        <w:t xml:space="preserve">• </w:t>
      </w:r>
      <w:r>
        <w:t>auth-service 与 user-service 的用户、角色、认证凭证模型</w:t>
      </w:r>
    </w:p>
    <w:p>
      <w:pPr>
        <w:ind w:left="283" w:hanging="170"/>
      </w:pPr>
      <w:r>
        <w:rPr>
          <w:b/>
        </w:rPr>
        <w:t xml:space="preserve">• </w:t>
      </w:r>
      <w:r>
        <w:t>course-service 中 course、class、teacher-course、class-student 等关系表</w:t>
      </w:r>
    </w:p>
    <w:p>
      <w:pPr>
        <w:sectPr>
          <w:pgSz w:w="12240" w:h="15840"/>
          <w:pgMar w:top="1247" w:right="1247" w:bottom="1134" w:left="1247" w:header="720" w:footer="720" w:gutter="0"/>
          <w:cols w:space="720"/>
          <w:docGrid w:linePitch="360"/>
        </w:sectPr>
      </w:pPr>
    </w:p>
    <w:p>
      <w:pPr>
        <w:pStyle w:val="Heading2"/>
      </w:pPr>
      <w:r>
        <w:t>图13 作业批改场景对象图</w:t>
      </w:r>
    </w:p>
    <w:p>
      <w:pPr>
        <w:jc w:val="center"/>
      </w:pPr>
      <w:r>
        <w:drawing>
          <wp:inline xmlns:a="http://schemas.openxmlformats.org/drawingml/2006/main" xmlns:pic="http://schemas.openxmlformats.org/drawingml/2006/picture">
            <wp:extent cx="6217920" cy="3730752"/>
            <wp:docPr id="13" name="Picture 13"/>
            <wp:cNvGraphicFramePr>
              <a:graphicFrameLocks noChangeAspect="1"/>
            </wp:cNvGraphicFramePr>
            <a:graphic>
              <a:graphicData uri="http://schemas.openxmlformats.org/drawingml/2006/picture">
                <pic:pic>
                  <pic:nvPicPr>
                    <pic:cNvPr id="0" name="13-assignment-grading-object.png"/>
                    <pic:cNvPicPr/>
                  </pic:nvPicPr>
                  <pic:blipFill>
                    <a:blip r:embed="rId21"/>
                    <a:stretch>
                      <a:fillRect/>
                    </a:stretch>
                  </pic:blipFill>
                  <pic:spPr>
                    <a:xfrm>
                      <a:off x="0" y="0"/>
                      <a:ext cx="6217920" cy="3730752"/>
                    </a:xfrm>
                    <a:prstGeom prst="rect"/>
                  </pic:spPr>
                </pic:pic>
              </a:graphicData>
            </a:graphic>
          </wp:inline>
        </w:drawing>
      </w:r>
    </w:p>
    <w:p>
      <w:pPr>
        <w:jc w:val="center"/>
      </w:pPr>
      <w:r>
        <w:rPr>
          <w:color w:val="4B5563"/>
          <w:sz w:val="18"/>
        </w:rPr>
        <w:t>图13 作业批改场景对象图（Object Diagram）</w:t>
      </w:r>
    </w:p>
    <w:p>
      <w:pPr>
        <w:spacing w:after="120" w:line="300" w:lineRule="auto"/>
      </w:pPr>
      <w:r>
        <w:t>作业批改对象图展示一次教师批改作业时的对象快照。教师、作业、提交记录、评分结果、成绩事件和通知对象之间形成一条从评价到反馈的链路。</w:t>
      </w:r>
    </w:p>
    <w:p>
      <w:pPr>
        <w:pStyle w:val="Heading3"/>
      </w:pPr>
      <w:r>
        <w:t>建模依据</w:t>
      </w:r>
    </w:p>
    <w:p>
      <w:pPr>
        <w:ind w:left="283" w:hanging="170"/>
      </w:pPr>
      <w:r>
        <w:rPr>
          <w:b/>
        </w:rPr>
        <w:t xml:space="preserve">• </w:t>
      </w:r>
      <w:r>
        <w:t>assignment-service 的 AssignmentSubmissionRecord、GradeCommand 相关模型</w:t>
      </w:r>
    </w:p>
    <w:p>
      <w:pPr>
        <w:ind w:left="283" w:hanging="170"/>
      </w:pPr>
      <w:r>
        <w:rPr>
          <w:b/>
        </w:rPr>
        <w:t xml:space="preserve">• </w:t>
      </w:r>
      <w:r>
        <w:t>notification-service 中作业批改完成通知的持久化职责</w:t>
      </w:r>
    </w:p>
    <w:p>
      <w:pPr>
        <w:sectPr>
          <w:pgSz w:w="12240" w:h="15840"/>
          <w:pgMar w:top="1247" w:right="1247" w:bottom="1134" w:left="1247" w:header="720" w:footer="720" w:gutter="0"/>
          <w:cols w:space="720"/>
          <w:docGrid w:linePitch="360"/>
        </w:sectPr>
      </w:pPr>
    </w:p>
    <w:p>
      <w:pPr>
        <w:pStyle w:val="Heading2"/>
      </w:pPr>
      <w:r>
        <w:t>图14 登录认证顺序图</w:t>
      </w:r>
    </w:p>
    <w:p>
      <w:pPr>
        <w:jc w:val="center"/>
      </w:pPr>
      <w:r>
        <w:drawing>
          <wp:inline xmlns:a="http://schemas.openxmlformats.org/drawingml/2006/main" xmlns:pic="http://schemas.openxmlformats.org/drawingml/2006/picture">
            <wp:extent cx="6217920" cy="3271070"/>
            <wp:docPr id="14" name="Picture 14"/>
            <wp:cNvGraphicFramePr>
              <a:graphicFrameLocks noChangeAspect="1"/>
            </wp:cNvGraphicFramePr>
            <a:graphic>
              <a:graphicData uri="http://schemas.openxmlformats.org/drawingml/2006/picture">
                <pic:pic>
                  <pic:nvPicPr>
                    <pic:cNvPr id="0" name="14-login-sequence.png"/>
                    <pic:cNvPicPr/>
                  </pic:nvPicPr>
                  <pic:blipFill>
                    <a:blip r:embed="rId22"/>
                    <a:stretch>
                      <a:fillRect/>
                    </a:stretch>
                  </pic:blipFill>
                  <pic:spPr>
                    <a:xfrm>
                      <a:off x="0" y="0"/>
                      <a:ext cx="6217920" cy="3271070"/>
                    </a:xfrm>
                    <a:prstGeom prst="rect"/>
                  </pic:spPr>
                </pic:pic>
              </a:graphicData>
            </a:graphic>
          </wp:inline>
        </w:drawing>
      </w:r>
    </w:p>
    <w:p>
      <w:pPr>
        <w:jc w:val="center"/>
      </w:pPr>
      <w:r>
        <w:rPr>
          <w:color w:val="4B5563"/>
          <w:sz w:val="18"/>
        </w:rPr>
        <w:t>图14 登录认证顺序图（Sequence Diagram）</w:t>
      </w:r>
    </w:p>
    <w:p>
      <w:pPr>
        <w:spacing w:after="120" w:line="300" w:lineRule="auto"/>
      </w:pPr>
      <w:r>
        <w:t>登录认证顺序图展示用户登录时 Gateway、auth-service、user-service、Redis 和 JWT 支撑组件之间的消息顺序。该图突出认证链路中的验证码校验、用户状态查询、角色装配和双 token 签发。</w:t>
      </w:r>
    </w:p>
    <w:p>
      <w:pPr>
        <w:pStyle w:val="Heading3"/>
      </w:pPr>
      <w:r>
        <w:t>建模依据</w:t>
      </w:r>
    </w:p>
    <w:p>
      <w:pPr>
        <w:ind w:left="283" w:hanging="170"/>
      </w:pPr>
      <w:r>
        <w:rPr>
          <w:b/>
        </w:rPr>
        <w:t xml:space="preserve">• </w:t>
      </w:r>
      <w:r>
        <w:t>auth-service 的 AuthController、JwtTokenService、RsaKeySupport</w:t>
      </w:r>
    </w:p>
    <w:p>
      <w:pPr>
        <w:ind w:left="283" w:hanging="170"/>
      </w:pPr>
      <w:r>
        <w:rPr>
          <w:b/>
        </w:rPr>
        <w:t xml:space="preserve">• </w:t>
      </w:r>
      <w:r>
        <w:t>common 安全上下文与 Gateway JWT 校验逻辑</w:t>
      </w:r>
    </w:p>
    <w:p>
      <w:pPr>
        <w:sectPr>
          <w:pgSz w:w="12240" w:h="15840"/>
          <w:pgMar w:top="1247" w:right="1247" w:bottom="1134" w:left="1247" w:header="720" w:footer="720" w:gutter="0"/>
          <w:cols w:space="720"/>
          <w:docGrid w:linePitch="360"/>
        </w:sectPr>
      </w:pPr>
    </w:p>
    <w:p>
      <w:pPr>
        <w:pStyle w:val="Heading2"/>
      </w:pPr>
      <w:r>
        <w:t>图15 作业批改顺序图</w:t>
      </w:r>
    </w:p>
    <w:p>
      <w:pPr>
        <w:jc w:val="center"/>
      </w:pPr>
      <w:r>
        <w:drawing>
          <wp:inline xmlns:a="http://schemas.openxmlformats.org/drawingml/2006/main" xmlns:pic="http://schemas.openxmlformats.org/drawingml/2006/picture">
            <wp:extent cx="6217920" cy="3075650"/>
            <wp:docPr id="15" name="Picture 15"/>
            <wp:cNvGraphicFramePr>
              <a:graphicFrameLocks noChangeAspect="1"/>
            </wp:cNvGraphicFramePr>
            <a:graphic>
              <a:graphicData uri="http://schemas.openxmlformats.org/drawingml/2006/picture">
                <pic:pic>
                  <pic:nvPicPr>
                    <pic:cNvPr id="0" name="15-assignment-grading-sequence.png"/>
                    <pic:cNvPicPr/>
                  </pic:nvPicPr>
                  <pic:blipFill>
                    <a:blip r:embed="rId23"/>
                    <a:stretch>
                      <a:fillRect/>
                    </a:stretch>
                  </pic:blipFill>
                  <pic:spPr>
                    <a:xfrm>
                      <a:off x="0" y="0"/>
                      <a:ext cx="6217920" cy="3075650"/>
                    </a:xfrm>
                    <a:prstGeom prst="rect"/>
                  </pic:spPr>
                </pic:pic>
              </a:graphicData>
            </a:graphic>
          </wp:inline>
        </w:drawing>
      </w:r>
    </w:p>
    <w:p>
      <w:pPr>
        <w:jc w:val="center"/>
      </w:pPr>
      <w:r>
        <w:rPr>
          <w:color w:val="4B5563"/>
          <w:sz w:val="18"/>
        </w:rPr>
        <w:t>图15 作业批改顺序图（Sequence Diagram）</w:t>
      </w:r>
    </w:p>
    <w:p>
      <w:pPr>
        <w:spacing w:after="120" w:line="300" w:lineRule="auto"/>
      </w:pPr>
      <w:r>
        <w:t>作业批改顺序图描述教师为学生提交记录打分的同步与异步链路。同步部分完成授课权限校验、提交状态校验和评分保存；异步部分通过 outbox 与 RabbitMQ 通知学生批改结果。</w:t>
      </w:r>
    </w:p>
    <w:p>
      <w:pPr>
        <w:pStyle w:val="Heading3"/>
      </w:pPr>
      <w:r>
        <w:t>建模依据</w:t>
      </w:r>
    </w:p>
    <w:p>
      <w:pPr>
        <w:ind w:left="283" w:hanging="170"/>
      </w:pPr>
      <w:r>
        <w:rPr>
          <w:b/>
        </w:rPr>
        <w:t xml:space="preserve">• </w:t>
      </w:r>
      <w:r>
        <w:t>assignment-service 中教师批改接口与提交记录持久化逻辑</w:t>
      </w:r>
    </w:p>
    <w:p>
      <w:pPr>
        <w:ind w:left="283" w:hanging="170"/>
      </w:pPr>
      <w:r>
        <w:rPr>
          <w:b/>
        </w:rPr>
        <w:t xml:space="preserve">• </w:t>
      </w:r>
      <w:r>
        <w:t>common outbox 与 notification-service 的通知落库职责</w:t>
      </w:r>
    </w:p>
    <w:p>
      <w:pPr>
        <w:sectPr>
          <w:pgSz w:w="12240" w:h="15840"/>
          <w:pgMar w:top="1247" w:right="1247" w:bottom="1134" w:left="1247" w:header="720" w:footer="720" w:gutter="0"/>
          <w:cols w:space="720"/>
          <w:docGrid w:linePitch="360"/>
        </w:sectPr>
      </w:pPr>
    </w:p>
    <w:p>
      <w:pPr>
        <w:pStyle w:val="Heading2"/>
      </w:pPr>
      <w:r>
        <w:t>图16 AI 组卷顺序图</w:t>
      </w:r>
    </w:p>
    <w:p>
      <w:pPr>
        <w:jc w:val="center"/>
      </w:pPr>
      <w:r>
        <w:drawing>
          <wp:inline xmlns:a="http://schemas.openxmlformats.org/drawingml/2006/main" xmlns:pic="http://schemas.openxmlformats.org/drawingml/2006/picture">
            <wp:extent cx="6217920" cy="3075650"/>
            <wp:docPr id="16" name="Picture 16"/>
            <wp:cNvGraphicFramePr>
              <a:graphicFrameLocks noChangeAspect="1"/>
            </wp:cNvGraphicFramePr>
            <a:graphic>
              <a:graphicData uri="http://schemas.openxmlformats.org/drawingml/2006/picture">
                <pic:pic>
                  <pic:nvPicPr>
                    <pic:cNvPr id="0" name="16-ai-paper-sequence.png"/>
                    <pic:cNvPicPr/>
                  </pic:nvPicPr>
                  <pic:blipFill>
                    <a:blip r:embed="rId24"/>
                    <a:stretch>
                      <a:fillRect/>
                    </a:stretch>
                  </pic:blipFill>
                  <pic:spPr>
                    <a:xfrm>
                      <a:off x="0" y="0"/>
                      <a:ext cx="6217920" cy="3075650"/>
                    </a:xfrm>
                    <a:prstGeom prst="rect"/>
                  </pic:spPr>
                </pic:pic>
              </a:graphicData>
            </a:graphic>
          </wp:inline>
        </w:drawing>
      </w:r>
    </w:p>
    <w:p>
      <w:pPr>
        <w:jc w:val="center"/>
      </w:pPr>
      <w:r>
        <w:rPr>
          <w:color w:val="4B5563"/>
          <w:sz w:val="18"/>
        </w:rPr>
        <w:t>图16 AI 组卷顺序图（Sequence Diagram）</w:t>
      </w:r>
    </w:p>
    <w:p>
      <w:pPr>
        <w:spacing w:after="120" w:line="300" w:lineRule="auto"/>
      </w:pPr>
      <w:r>
        <w:t>AI 组卷顺序图展示教师使用 AI 生成试卷草稿的交互过程。ai-service 汇总课程知识点、题型难度和教师约束，调用外部大模型生成草稿，再交由 exam-service 保存并供教师二次编辑。</w:t>
      </w:r>
    </w:p>
    <w:p>
      <w:pPr>
        <w:pStyle w:val="Heading3"/>
      </w:pPr>
      <w:r>
        <w:t>建模依据</w:t>
      </w:r>
    </w:p>
    <w:p>
      <w:pPr>
        <w:ind w:left="283" w:hanging="170"/>
      </w:pPr>
      <w:r>
        <w:rPr>
          <w:b/>
        </w:rPr>
        <w:t xml:space="preserve">• </w:t>
      </w:r>
      <w:r>
        <w:t>ai-service-api 中题目生成、组卷生成请求 DTO</w:t>
      </w:r>
    </w:p>
    <w:p>
      <w:pPr>
        <w:ind w:left="283" w:hanging="170"/>
      </w:pPr>
      <w:r>
        <w:rPr>
          <w:b/>
        </w:rPr>
        <w:t xml:space="preserve">• </w:t>
      </w:r>
      <w:r>
        <w:t>course-service-api 与 exam-service-api 为 AI 生成提供上下文和落库能力</w:t>
      </w:r>
    </w:p>
    <w:p>
      <w:pPr>
        <w:sectPr>
          <w:pgSz w:w="12240" w:h="15840"/>
          <w:pgMar w:top="1247" w:right="1247" w:bottom="1134" w:left="1247" w:header="720" w:footer="720" w:gutter="0"/>
          <w:cols w:space="720"/>
          <w:docGrid w:linePitch="360"/>
        </w:sectPr>
      </w:pPr>
    </w:p>
    <w:p>
      <w:pPr>
        <w:pStyle w:val="Heading2"/>
      </w:pPr>
      <w:r>
        <w:t>图17 学情分析通知协作图</w:t>
      </w:r>
    </w:p>
    <w:p>
      <w:pPr>
        <w:jc w:val="center"/>
      </w:pPr>
      <w:r>
        <w:drawing>
          <wp:inline xmlns:a="http://schemas.openxmlformats.org/drawingml/2006/main" xmlns:pic="http://schemas.openxmlformats.org/drawingml/2006/picture">
            <wp:extent cx="6217920" cy="3868928"/>
            <wp:docPr id="17" name="Picture 17"/>
            <wp:cNvGraphicFramePr>
              <a:graphicFrameLocks noChangeAspect="1"/>
            </wp:cNvGraphicFramePr>
            <a:graphic>
              <a:graphicData uri="http://schemas.openxmlformats.org/drawingml/2006/picture">
                <pic:pic>
                  <pic:nvPicPr>
                    <pic:cNvPr id="0" name="17-analysis-notification-communication.png"/>
                    <pic:cNvPicPr/>
                  </pic:nvPicPr>
                  <pic:blipFill>
                    <a:blip r:embed="rId25"/>
                    <a:stretch>
                      <a:fillRect/>
                    </a:stretch>
                  </pic:blipFill>
                  <pic:spPr>
                    <a:xfrm>
                      <a:off x="0" y="0"/>
                      <a:ext cx="6217920" cy="3868928"/>
                    </a:xfrm>
                    <a:prstGeom prst="rect"/>
                  </pic:spPr>
                </pic:pic>
              </a:graphicData>
            </a:graphic>
          </wp:inline>
        </w:drawing>
      </w:r>
    </w:p>
    <w:p>
      <w:pPr>
        <w:jc w:val="center"/>
      </w:pPr>
      <w:r>
        <w:rPr>
          <w:color w:val="4B5563"/>
          <w:sz w:val="18"/>
        </w:rPr>
        <w:t>图17 学情分析通知协作图（Communication Diagram）</w:t>
      </w:r>
    </w:p>
    <w:p>
      <w:pPr>
        <w:spacing w:after="120" w:line="300" w:lineRule="auto"/>
      </w:pPr>
      <w:r>
        <w:t>学情分析通知协作图说明考试和作业评价事件如何驱动分析服务更新 read model，并在达到阈值时通知服务生成预警通知。该图突出事件总线、分析规则、预警实体和消息投递之间的对象协作。</w:t>
      </w:r>
    </w:p>
    <w:p>
      <w:pPr>
        <w:pStyle w:val="Heading3"/>
      </w:pPr>
      <w:r>
        <w:t>建模依据</w:t>
      </w:r>
    </w:p>
    <w:p>
      <w:pPr>
        <w:ind w:left="283" w:hanging="170"/>
      </w:pPr>
      <w:r>
        <w:rPr>
          <w:b/>
        </w:rPr>
        <w:t xml:space="preserve">• </w:t>
      </w:r>
      <w:r>
        <w:t>analysis-service 维护成绩趋势、知识点掌握度和 EarlyWarning</w:t>
      </w:r>
    </w:p>
    <w:p>
      <w:pPr>
        <w:ind w:left="283" w:hanging="170"/>
      </w:pPr>
      <w:r>
        <w:rPr>
          <w:b/>
        </w:rPr>
        <w:t xml:space="preserve">• </w:t>
      </w:r>
      <w:r>
        <w:t>notification-service 消费预警事件并创建站内信/通知记录</w:t>
      </w:r>
    </w:p>
    <w:p>
      <w:pPr>
        <w:sectPr>
          <w:pgSz w:w="12240" w:h="15840"/>
          <w:pgMar w:top="1247" w:right="1247" w:bottom="1134" w:left="1247" w:header="720" w:footer="720" w:gutter="0"/>
          <w:cols w:space="720"/>
          <w:docGrid w:linePitch="360"/>
        </w:sectPr>
      </w:pPr>
    </w:p>
    <w:p>
      <w:pPr>
        <w:pStyle w:val="Heading2"/>
      </w:pPr>
      <w:r>
        <w:t>图18 AI 生成协作图</w:t>
      </w:r>
    </w:p>
    <w:p>
      <w:pPr>
        <w:jc w:val="center"/>
      </w:pPr>
      <w:r>
        <w:drawing>
          <wp:inline xmlns:a="http://schemas.openxmlformats.org/drawingml/2006/main" xmlns:pic="http://schemas.openxmlformats.org/drawingml/2006/picture">
            <wp:extent cx="6217920" cy="3868928"/>
            <wp:docPr id="18" name="Picture 18"/>
            <wp:cNvGraphicFramePr>
              <a:graphicFrameLocks noChangeAspect="1"/>
            </wp:cNvGraphicFramePr>
            <a:graphic>
              <a:graphicData uri="http://schemas.openxmlformats.org/drawingml/2006/picture">
                <pic:pic>
                  <pic:nvPicPr>
                    <pic:cNvPr id="0" name="18-ai-generation-communication.png"/>
                    <pic:cNvPicPr/>
                  </pic:nvPicPr>
                  <pic:blipFill>
                    <a:blip r:embed="rId26"/>
                    <a:stretch>
                      <a:fillRect/>
                    </a:stretch>
                  </pic:blipFill>
                  <pic:spPr>
                    <a:xfrm>
                      <a:off x="0" y="0"/>
                      <a:ext cx="6217920" cy="3868928"/>
                    </a:xfrm>
                    <a:prstGeom prst="rect"/>
                  </pic:spPr>
                </pic:pic>
              </a:graphicData>
            </a:graphic>
          </wp:inline>
        </w:drawing>
      </w:r>
    </w:p>
    <w:p>
      <w:pPr>
        <w:jc w:val="center"/>
      </w:pPr>
      <w:r>
        <w:rPr>
          <w:color w:val="4B5563"/>
          <w:sz w:val="18"/>
        </w:rPr>
        <w:t>图18 AI 生成协作图（Communication Diagram）</w:t>
      </w:r>
    </w:p>
    <w:p>
      <w:pPr>
        <w:spacing w:after="120" w:line="300" w:lineRule="auto"/>
      </w:pPr>
      <w:r>
        <w:t>AI 生成协作图从对象链接角度说明教师请求、AI 编排服务、课程上下文、外部模型、生成记录和业务草稿之间的协作关系。该图用于补充 AI 组卷顺序图，强调参与对象和责任分配。</w:t>
      </w:r>
    </w:p>
    <w:p>
      <w:pPr>
        <w:pStyle w:val="Heading3"/>
      </w:pPr>
      <w:r>
        <w:t>建模依据</w:t>
      </w:r>
    </w:p>
    <w:p>
      <w:pPr>
        <w:ind w:left="283" w:hanging="170"/>
      </w:pPr>
      <w:r>
        <w:rPr>
          <w:b/>
        </w:rPr>
        <w:t xml:space="preserve">• </w:t>
      </w:r>
      <w:r>
        <w:t>ai-service-api 中 AiGenerateQuestionRequest、AiGeneratePaperRequest 等契约</w:t>
      </w:r>
    </w:p>
    <w:p>
      <w:pPr>
        <w:ind w:left="283" w:hanging="170"/>
      </w:pPr>
      <w:r>
        <w:rPr>
          <w:b/>
        </w:rPr>
        <w:t xml:space="preserve">• </w:t>
      </w:r>
      <w:r>
        <w:t>ai-service 对外部 AI 能力的编排以及 exam-service 草稿落库职责</w:t>
      </w:r>
    </w:p>
    <w:p>
      <w:pPr>
        <w:sectPr>
          <w:pgSz w:w="12240" w:h="15840"/>
          <w:pgMar w:top="1247" w:right="1247" w:bottom="1134" w:left="1247" w:header="720" w:footer="720" w:gutter="0"/>
          <w:cols w:space="720"/>
          <w:docGrid w:linePitch="360"/>
        </w:sectPr>
      </w:pPr>
    </w:p>
    <w:p>
      <w:pPr>
        <w:pStyle w:val="Heading2"/>
      </w:pPr>
      <w:r>
        <w:t>图19 作业提交状态图</w:t>
      </w:r>
    </w:p>
    <w:p>
      <w:pPr>
        <w:jc w:val="center"/>
      </w:pPr>
      <w:r>
        <w:drawing>
          <wp:inline xmlns:a="http://schemas.openxmlformats.org/drawingml/2006/main" xmlns:pic="http://schemas.openxmlformats.org/drawingml/2006/picture">
            <wp:extent cx="6217920" cy="3992559"/>
            <wp:docPr id="19" name="Picture 19"/>
            <wp:cNvGraphicFramePr>
              <a:graphicFrameLocks noChangeAspect="1"/>
            </wp:cNvGraphicFramePr>
            <a:graphic>
              <a:graphicData uri="http://schemas.openxmlformats.org/drawingml/2006/picture">
                <pic:pic>
                  <pic:nvPicPr>
                    <pic:cNvPr id="0" name="19-assignment-submission-state.png"/>
                    <pic:cNvPicPr/>
                  </pic:nvPicPr>
                  <pic:blipFill>
                    <a:blip r:embed="rId27"/>
                    <a:stretch>
                      <a:fillRect/>
                    </a:stretch>
                  </pic:blipFill>
                  <pic:spPr>
                    <a:xfrm>
                      <a:off x="0" y="0"/>
                      <a:ext cx="6217920" cy="3992559"/>
                    </a:xfrm>
                    <a:prstGeom prst="rect"/>
                  </pic:spPr>
                </pic:pic>
              </a:graphicData>
            </a:graphic>
          </wp:inline>
        </w:drawing>
      </w:r>
    </w:p>
    <w:p>
      <w:pPr>
        <w:jc w:val="center"/>
      </w:pPr>
      <w:r>
        <w:rPr>
          <w:color w:val="4B5563"/>
          <w:sz w:val="18"/>
        </w:rPr>
        <w:t>图19 作业提交状态图（Statechart Diagram）</w:t>
      </w:r>
    </w:p>
    <w:p>
      <w:pPr>
        <w:spacing w:after="120" w:line="300" w:lineRule="auto"/>
      </w:pPr>
      <w:r>
        <w:t>作业提交状态图选择 AssignmentSubmission 作为生命周期对象。它从未提交开始，经历草稿、已提交、待批改、已批改、需修改和归档等状态，反映学生提交与教师反馈的闭环。</w:t>
      </w:r>
    </w:p>
    <w:p>
      <w:pPr>
        <w:pStyle w:val="Heading3"/>
      </w:pPr>
      <w:r>
        <w:t>建模依据</w:t>
      </w:r>
    </w:p>
    <w:p>
      <w:pPr>
        <w:ind w:left="283" w:hanging="170"/>
      </w:pPr>
      <w:r>
        <w:rPr>
          <w:b/>
        </w:rPr>
        <w:t xml:space="preserve">• </w:t>
      </w:r>
      <w:r>
        <w:t>assignment-service 中作业提交、教师批改、重新提交与成绩发布路径</w:t>
      </w:r>
    </w:p>
    <w:p>
      <w:pPr>
        <w:ind w:left="283" w:hanging="170"/>
      </w:pPr>
      <w:r>
        <w:rPr>
          <w:b/>
        </w:rPr>
        <w:t xml:space="preserve">• </w:t>
      </w:r>
      <w:r>
        <w:t>AssignmentSubmissionRecord 中提交内容、批改状态、得分与评语字段</w:t>
      </w:r>
    </w:p>
    <w:p>
      <w:pPr>
        <w:sectPr>
          <w:pgSz w:w="12240" w:h="15840"/>
          <w:pgMar w:top="1247" w:right="1247" w:bottom="1134" w:left="1247" w:header="720" w:footer="720" w:gutter="0"/>
          <w:cols w:space="720"/>
          <w:docGrid w:linePitch="360"/>
        </w:sectPr>
      </w:pPr>
    </w:p>
    <w:p>
      <w:pPr>
        <w:pStyle w:val="Heading2"/>
      </w:pPr>
      <w:r>
        <w:t>图20 通知消息状态图</w:t>
      </w:r>
    </w:p>
    <w:p>
      <w:pPr>
        <w:jc w:val="center"/>
      </w:pPr>
      <w:r>
        <w:drawing>
          <wp:inline xmlns:a="http://schemas.openxmlformats.org/drawingml/2006/main" xmlns:pic="http://schemas.openxmlformats.org/drawingml/2006/picture">
            <wp:extent cx="6217920" cy="3992559"/>
            <wp:docPr id="20" name="Picture 20"/>
            <wp:cNvGraphicFramePr>
              <a:graphicFrameLocks noChangeAspect="1"/>
            </wp:cNvGraphicFramePr>
            <a:graphic>
              <a:graphicData uri="http://schemas.openxmlformats.org/drawingml/2006/picture">
                <pic:pic>
                  <pic:nvPicPr>
                    <pic:cNvPr id="0" name="20-notification-state.png"/>
                    <pic:cNvPicPr/>
                  </pic:nvPicPr>
                  <pic:blipFill>
                    <a:blip r:embed="rId28"/>
                    <a:stretch>
                      <a:fillRect/>
                    </a:stretch>
                  </pic:blipFill>
                  <pic:spPr>
                    <a:xfrm>
                      <a:off x="0" y="0"/>
                      <a:ext cx="6217920" cy="3992559"/>
                    </a:xfrm>
                    <a:prstGeom prst="rect"/>
                  </pic:spPr>
                </pic:pic>
              </a:graphicData>
            </a:graphic>
          </wp:inline>
        </w:drawing>
      </w:r>
    </w:p>
    <w:p>
      <w:pPr>
        <w:jc w:val="center"/>
      </w:pPr>
      <w:r>
        <w:rPr>
          <w:color w:val="4B5563"/>
          <w:sz w:val="18"/>
        </w:rPr>
        <w:t>图20 通知消息状态图（Statechart Diagram）</w:t>
      </w:r>
    </w:p>
    <w:p>
      <w:pPr>
        <w:spacing w:after="120" w:line="300" w:lineRule="auto"/>
      </w:pPr>
      <w:r>
        <w:t>通知消息状态图描述 NotificationEntity 从创建、待投递、已投递、已读、处理完成到归档的生命周期。对于预警类通知，还存在用户处理或教师确认后关闭的状态迁移。</w:t>
      </w:r>
    </w:p>
    <w:p>
      <w:pPr>
        <w:pStyle w:val="Heading3"/>
      </w:pPr>
      <w:r>
        <w:t>建模依据</w:t>
      </w:r>
    </w:p>
    <w:p>
      <w:pPr>
        <w:ind w:left="283" w:hanging="170"/>
      </w:pPr>
      <w:r>
        <w:rPr>
          <w:b/>
        </w:rPr>
        <w:t xml:space="preserve">• </w:t>
      </w:r>
      <w:r>
        <w:t>notification-service 保存站内信、阅读状态和通知投递记录</w:t>
      </w:r>
    </w:p>
    <w:p>
      <w:pPr>
        <w:ind w:left="283" w:hanging="170"/>
      </w:pPr>
      <w:r>
        <w:rPr>
          <w:b/>
        </w:rPr>
        <w:t xml:space="preserve">• </w:t>
      </w:r>
      <w:r>
        <w:t>analysis-service 预警事件触发通知生成并等待用户处理</w:t>
      </w:r>
    </w:p>
    <w:p>
      <w:pPr>
        <w:sectPr>
          <w:pgSz w:w="12240" w:h="15840"/>
          <w:pgMar w:top="1247" w:right="1247" w:bottom="1134" w:left="1247" w:header="720" w:footer="720" w:gutter="0"/>
          <w:cols w:space="720"/>
          <w:docGrid w:linePitch="360"/>
        </w:sectPr>
      </w:pPr>
    </w:p>
    <w:p>
      <w:pPr>
        <w:pStyle w:val="Heading2"/>
      </w:pPr>
      <w:r>
        <w:t>图21 登录认证活动图</w:t>
      </w:r>
    </w:p>
    <w:p>
      <w:pPr>
        <w:jc w:val="center"/>
      </w:pPr>
      <w:r>
        <w:drawing>
          <wp:inline xmlns:a="http://schemas.openxmlformats.org/drawingml/2006/main" xmlns:pic="http://schemas.openxmlformats.org/drawingml/2006/picture">
            <wp:extent cx="6217920" cy="5727032"/>
            <wp:docPr id="21" name="Picture 21"/>
            <wp:cNvGraphicFramePr>
              <a:graphicFrameLocks noChangeAspect="1"/>
            </wp:cNvGraphicFramePr>
            <a:graphic>
              <a:graphicData uri="http://schemas.openxmlformats.org/drawingml/2006/picture">
                <pic:pic>
                  <pic:nvPicPr>
                    <pic:cNvPr id="0" name="21-login-activity.png"/>
                    <pic:cNvPicPr/>
                  </pic:nvPicPr>
                  <pic:blipFill>
                    <a:blip r:embed="rId29"/>
                    <a:stretch>
                      <a:fillRect/>
                    </a:stretch>
                  </pic:blipFill>
                  <pic:spPr>
                    <a:xfrm>
                      <a:off x="0" y="0"/>
                      <a:ext cx="6217920" cy="5727032"/>
                    </a:xfrm>
                    <a:prstGeom prst="rect"/>
                  </pic:spPr>
                </pic:pic>
              </a:graphicData>
            </a:graphic>
          </wp:inline>
        </w:drawing>
      </w:r>
    </w:p>
    <w:p>
      <w:pPr>
        <w:jc w:val="center"/>
      </w:pPr>
      <w:r>
        <w:rPr>
          <w:color w:val="4B5563"/>
          <w:sz w:val="18"/>
        </w:rPr>
        <w:t>图21 登录认证活动图（Activity Diagram）</w:t>
      </w:r>
    </w:p>
    <w:p>
      <w:pPr>
        <w:spacing w:after="120" w:line="300" w:lineRule="auto"/>
      </w:pPr>
      <w:r>
        <w:t>登录认证活动图从控制流角度描述账号密码、验证码、用户状态、角色选择和 token 签发。它适合说明认证服务如何处理失败分支，并与 Gateway 后续鉴权形成闭环。</w:t>
      </w:r>
    </w:p>
    <w:p>
      <w:pPr>
        <w:pStyle w:val="Heading3"/>
      </w:pPr>
      <w:r>
        <w:t>建模依据</w:t>
      </w:r>
    </w:p>
    <w:p>
      <w:pPr>
        <w:ind w:left="283" w:hanging="170"/>
      </w:pPr>
      <w:r>
        <w:rPr>
          <w:b/>
        </w:rPr>
        <w:t xml:space="preserve">• </w:t>
      </w:r>
      <w:r>
        <w:t>auth-service 登录、刷新 token、角色切换相关接口</w:t>
      </w:r>
    </w:p>
    <w:p>
      <w:pPr>
        <w:ind w:left="283" w:hanging="170"/>
      </w:pPr>
      <w:r>
        <w:rPr>
          <w:b/>
        </w:rPr>
        <w:t xml:space="preserve">• </w:t>
      </w:r>
      <w:r>
        <w:t>Redis 存储验证码、refresh token JTI 和限流辅助信息</w:t>
      </w:r>
    </w:p>
    <w:p>
      <w:pPr>
        <w:sectPr>
          <w:pgSz w:w="12240" w:h="15840"/>
          <w:pgMar w:top="1247" w:right="1247" w:bottom="1134" w:left="1247" w:header="720" w:footer="720" w:gutter="0"/>
          <w:cols w:space="720"/>
          <w:docGrid w:linePitch="360"/>
        </w:sectPr>
      </w:pPr>
    </w:p>
    <w:p>
      <w:pPr>
        <w:pStyle w:val="Heading2"/>
      </w:pPr>
      <w:r>
        <w:t>图22 作业发布批改活动图</w:t>
      </w:r>
    </w:p>
    <w:p>
      <w:pPr>
        <w:jc w:val="center"/>
      </w:pPr>
      <w:r>
        <w:drawing>
          <wp:inline xmlns:a="http://schemas.openxmlformats.org/drawingml/2006/main" xmlns:pic="http://schemas.openxmlformats.org/drawingml/2006/picture">
            <wp:extent cx="6217920" cy="6708808"/>
            <wp:docPr id="22" name="Picture 22"/>
            <wp:cNvGraphicFramePr>
              <a:graphicFrameLocks noChangeAspect="1"/>
            </wp:cNvGraphicFramePr>
            <a:graphic>
              <a:graphicData uri="http://schemas.openxmlformats.org/drawingml/2006/picture">
                <pic:pic>
                  <pic:nvPicPr>
                    <pic:cNvPr id="0" name="22-assignment-activity.png"/>
                    <pic:cNvPicPr/>
                  </pic:nvPicPr>
                  <pic:blipFill>
                    <a:blip r:embed="rId30"/>
                    <a:stretch>
                      <a:fillRect/>
                    </a:stretch>
                  </pic:blipFill>
                  <pic:spPr>
                    <a:xfrm>
                      <a:off x="0" y="0"/>
                      <a:ext cx="6217920" cy="6708808"/>
                    </a:xfrm>
                    <a:prstGeom prst="rect"/>
                  </pic:spPr>
                </pic:pic>
              </a:graphicData>
            </a:graphic>
          </wp:inline>
        </w:drawing>
      </w:r>
    </w:p>
    <w:p>
      <w:pPr>
        <w:jc w:val="center"/>
      </w:pPr>
      <w:r>
        <w:rPr>
          <w:color w:val="4B5563"/>
          <w:sz w:val="18"/>
        </w:rPr>
        <w:t>图22 作业发布批改活动图（Activity Diagram）</w:t>
      </w:r>
    </w:p>
    <w:p>
      <w:pPr>
        <w:spacing w:after="120" w:line="300" w:lineRule="auto"/>
      </w:pPr>
      <w:r>
        <w:t>作业发布批改活动图覆盖教师发布作业、学生提交、教师批改、成绩发布和通知反馈的完整闭环。该图与作业批改顺序图互补，强调流程分支和业务状态变化。</w:t>
      </w:r>
    </w:p>
    <w:p>
      <w:pPr>
        <w:pStyle w:val="Heading3"/>
      </w:pPr>
      <w:r>
        <w:t>建模依据</w:t>
      </w:r>
    </w:p>
    <w:p>
      <w:pPr>
        <w:ind w:left="283" w:hanging="170"/>
      </w:pPr>
      <w:r>
        <w:rPr>
          <w:b/>
        </w:rPr>
        <w:t xml:space="preserve">• </w:t>
      </w:r>
      <w:r>
        <w:t>assignment-service 的作业发布、班级发布范围、学生提交和教师批改接口</w:t>
      </w:r>
    </w:p>
    <w:p>
      <w:pPr>
        <w:ind w:left="283" w:hanging="170"/>
      </w:pPr>
      <w:r>
        <w:rPr>
          <w:b/>
        </w:rPr>
        <w:t xml:space="preserve">• </w:t>
      </w:r>
      <w:r>
        <w:t>notification-service 在批改完成后创建作业结果通知</w:t>
      </w:r>
    </w:p>
    <w:p>
      <w:pPr>
        <w:sectPr>
          <w:pgSz w:w="12240" w:h="15840"/>
          <w:pgMar w:top="1247" w:right="1247" w:bottom="1134" w:left="1247" w:header="720" w:footer="720" w:gutter="0"/>
          <w:cols w:space="720"/>
          <w:docGrid w:linePitch="360"/>
        </w:sectPr>
      </w:pPr>
    </w:p>
    <w:p>
      <w:pPr>
        <w:pStyle w:val="Heading2"/>
      </w:pPr>
      <w:r>
        <w:t>图23 AI 分析推荐活动图</w:t>
      </w:r>
    </w:p>
    <w:p>
      <w:pPr>
        <w:jc w:val="center"/>
      </w:pPr>
      <w:r>
        <w:drawing>
          <wp:inline xmlns:a="http://schemas.openxmlformats.org/drawingml/2006/main" xmlns:pic="http://schemas.openxmlformats.org/drawingml/2006/picture">
            <wp:extent cx="6217920" cy="6217920"/>
            <wp:docPr id="23" name="Picture 23"/>
            <wp:cNvGraphicFramePr>
              <a:graphicFrameLocks noChangeAspect="1"/>
            </wp:cNvGraphicFramePr>
            <a:graphic>
              <a:graphicData uri="http://schemas.openxmlformats.org/drawingml/2006/picture">
                <pic:pic>
                  <pic:nvPicPr>
                    <pic:cNvPr id="0" name="23-ai-analysis-activity.png"/>
                    <pic:cNvPicPr/>
                  </pic:nvPicPr>
                  <pic:blipFill>
                    <a:blip r:embed="rId31"/>
                    <a:stretch>
                      <a:fillRect/>
                    </a:stretch>
                  </pic:blipFill>
                  <pic:spPr>
                    <a:xfrm>
                      <a:off x="0" y="0"/>
                      <a:ext cx="6217920" cy="6217920"/>
                    </a:xfrm>
                    <a:prstGeom prst="rect"/>
                  </pic:spPr>
                </pic:pic>
              </a:graphicData>
            </a:graphic>
          </wp:inline>
        </w:drawing>
      </w:r>
    </w:p>
    <w:p>
      <w:pPr>
        <w:jc w:val="center"/>
      </w:pPr>
      <w:r>
        <w:rPr>
          <w:color w:val="4B5563"/>
          <w:sz w:val="18"/>
        </w:rPr>
        <w:t>图23 AI 分析推荐活动图（Activity Diagram）</w:t>
      </w:r>
    </w:p>
    <w:p>
      <w:pPr>
        <w:spacing w:after="120" w:line="300" w:lineRule="auto"/>
      </w:pPr>
      <w:r>
        <w:t>AI 分析推荐活动图展示平台如何基于成绩、知识点掌握度和教师约束生成学习建议或教学资源。流程包含数据聚合、风险识别、prompt 构造、模型调用、结果审核和通知反馈。</w:t>
      </w:r>
    </w:p>
    <w:p>
      <w:pPr>
        <w:pStyle w:val="Heading3"/>
      </w:pPr>
      <w:r>
        <w:t>建模依据</w:t>
      </w:r>
    </w:p>
    <w:p>
      <w:pPr>
        <w:ind w:left="283" w:hanging="170"/>
      </w:pPr>
      <w:r>
        <w:rPr>
          <w:b/>
        </w:rPr>
        <w:t xml:space="preserve">• </w:t>
      </w:r>
      <w:r>
        <w:t>analysis-service 提供成绩趋势、知识点掌握和预警 read model</w:t>
      </w:r>
    </w:p>
    <w:p>
      <w:pPr>
        <w:ind w:left="283" w:hanging="170"/>
      </w:pPr>
      <w:r>
        <w:rPr>
          <w:b/>
        </w:rPr>
        <w:t xml:space="preserve">• </w:t>
      </w:r>
      <w:r>
        <w:t>ai-service-api 支持学习建议、题目和组卷生成请求</w:t>
      </w:r>
    </w:p>
    <w:p>
      <w:pPr>
        <w:sectPr>
          <w:pgSz w:w="12240" w:h="15840"/>
          <w:pgMar w:top="1247" w:right="1247" w:bottom="1134" w:left="1247" w:header="720" w:footer="720" w:gutter="0"/>
          <w:cols w:space="720"/>
          <w:docGrid w:linePitch="360"/>
        </w:sectPr>
      </w:pPr>
    </w:p>
    <w:p>
      <w:pPr>
        <w:pStyle w:val="Heading2"/>
      </w:pPr>
      <w:r>
        <w:t>图24 核心微服务组件细化图</w:t>
      </w:r>
    </w:p>
    <w:p>
      <w:pPr>
        <w:jc w:val="center"/>
      </w:pPr>
      <w:r>
        <w:drawing>
          <wp:inline xmlns:a="http://schemas.openxmlformats.org/drawingml/2006/main" xmlns:pic="http://schemas.openxmlformats.org/drawingml/2006/picture">
            <wp:extent cx="6217920" cy="3992559"/>
            <wp:docPr id="24" name="Picture 24"/>
            <wp:cNvGraphicFramePr>
              <a:graphicFrameLocks noChangeAspect="1"/>
            </wp:cNvGraphicFramePr>
            <a:graphic>
              <a:graphicData uri="http://schemas.openxmlformats.org/drawingml/2006/picture">
                <pic:pic>
                  <pic:nvPicPr>
                    <pic:cNvPr id="0" name="24-core-microservice-component.png"/>
                    <pic:cNvPicPr/>
                  </pic:nvPicPr>
                  <pic:blipFill>
                    <a:blip r:embed="rId32"/>
                    <a:stretch>
                      <a:fillRect/>
                    </a:stretch>
                  </pic:blipFill>
                  <pic:spPr>
                    <a:xfrm>
                      <a:off x="0" y="0"/>
                      <a:ext cx="6217920" cy="3992559"/>
                    </a:xfrm>
                    <a:prstGeom prst="rect"/>
                  </pic:spPr>
                </pic:pic>
              </a:graphicData>
            </a:graphic>
          </wp:inline>
        </w:drawing>
      </w:r>
    </w:p>
    <w:p>
      <w:pPr>
        <w:jc w:val="center"/>
      </w:pPr>
      <w:r>
        <w:rPr>
          <w:color w:val="4B5563"/>
          <w:sz w:val="18"/>
        </w:rPr>
        <w:t>图24 核心微服务组件细化图（Component Diagram）</w:t>
      </w:r>
    </w:p>
    <w:p>
      <w:pPr>
        <w:spacing w:after="120" w:line="300" w:lineRule="auto"/>
      </w:pPr>
      <w:r>
        <w:t>核心微服务组件细化图聚焦业务服务之间的 API 与事件关系。Auth/User/Course 提供身份、资料和教学基础数据，Assignment/Exam 产生评价事实，Analysis/Notification/AI 围绕评价事实提供分析、反馈和智能生成能力。</w:t>
      </w:r>
    </w:p>
    <w:p>
      <w:pPr>
        <w:pStyle w:val="Heading3"/>
      </w:pPr>
      <w:r>
        <w:t>建模依据</w:t>
      </w:r>
    </w:p>
    <w:p>
      <w:pPr>
        <w:ind w:left="283" w:hanging="170"/>
      </w:pPr>
      <w:r>
        <w:rPr>
          <w:b/>
        </w:rPr>
        <w:t xml:space="preserve">• </w:t>
      </w:r>
      <w:r>
        <w:t>docs/service-boundary-and-monolith-shrink-plan.md 中各服务边界与迁移计划</w:t>
      </w:r>
    </w:p>
    <w:p>
      <w:pPr>
        <w:ind w:left="283" w:hanging="170"/>
      </w:pPr>
      <w:r>
        <w:rPr>
          <w:b/>
        </w:rPr>
        <w:t xml:space="preserve">• </w:t>
      </w:r>
      <w:r>
        <w:t>common-events 模块定义评价、预警和通知相关领域事件</w:t>
      </w:r>
    </w:p>
    <w:p>
      <w:pPr>
        <w:sectPr>
          <w:pgSz w:w="12240" w:h="15840"/>
          <w:pgMar w:top="1247" w:right="1247" w:bottom="1134" w:left="1247" w:header="720" w:footer="720" w:gutter="0"/>
          <w:cols w:space="720"/>
          <w:docGrid w:linePitch="360"/>
        </w:sectPr>
      </w:pPr>
    </w:p>
    <w:p>
      <w:pPr>
        <w:pStyle w:val="Heading1"/>
      </w:pPr>
      <w:r>
        <w:t>六、StarUML 导入与扩展使用说明</w:t>
      </w:r>
    </w:p>
    <w:p>
      <w:pPr>
        <w:spacing w:after="120" w:line="300" w:lineRule="auto"/>
      </w:pPr>
      <w:r>
        <w:t>方式一：双击交付目录中的“一键打开StarUML并安装扩展.bat”。脚本会安装 StarUML 扩展并打开 StarUML，打开后在顶部 Tools 菜单点击“生成课程核心 9 张 UML 图”或“生成推荐 24 张 UML 图”，即可在 Model Explorer 中生成并查看对应模型图。</w:t>
      </w:r>
    </w:p>
    <w:p>
      <w:pPr>
        <w:spacing w:after="120" w:line="300" w:lineRule="auto"/>
      </w:pPr>
      <w:r>
        <w:t>方式二：打开 StarUML，直接选择 File &gt; Open，打开 sources/smart-learning-system.mdj，可查看模型包和 24 张图的模型元素。</w:t>
      </w:r>
    </w:p>
    <w:p>
      <w:pPr>
        <w:spacing w:after="120" w:line="300" w:lineRule="auto"/>
      </w:pPr>
      <w:r>
        <w:t>方式三：将 staruml-extension/smart-learning-uml-generator 文件夹复制到 StarUML 用户扩展目录，重启 StarUML 后在 Tools 菜单选择需要的生成入口。</w:t>
      </w:r>
    </w:p>
    <w:p>
      <w:pPr>
        <w:spacing w:after="120" w:line="300" w:lineRule="auto"/>
      </w:pPr>
      <w:r>
        <w:t>Windows 用户扩展目录通常是 C:/Users/&lt;用户名&gt;/AppData/Roaming/StarUML/extensions/user。扩展包 smart-learning-uml-generator-staruml-extension.zip 可直接解压到该目录。</w:t>
      </w:r>
    </w:p>
    <w:p>
      <w:pPr>
        <w:spacing w:after="120" w:line="300" w:lineRule="auto"/>
      </w:pPr>
      <w:r>
        <w:t>经查 StarUML 官方文档，扩展 API 可注册命令、菜单并创建模型；批量导出全部图为 PNG 的官方路径是 StarUML CLI 的 image 命令，默认选择 @Diagram，可一次导出模型中的全部图。本交付提供 export-staruml-images.ps1 调用该能力；本地生成器也会同步生成全部 PNG，确保没有 StarUML CLI 时仍可提交报告。</w:t>
      </w:r>
    </w:p>
    <w:p>
      <w:pPr>
        <w:spacing w:after="120" w:line="300" w:lineRule="auto"/>
      </w:pPr>
      <w:r>
        <w:t>图片与报告由本地生成器确定性生成，StarUML 中的图形位置可根据教师审美要求继续手工微调。</w:t>
      </w:r>
    </w:p>
    <w:p>
      <w:pPr>
        <w:pStyle w:val="Heading1"/>
      </w:pPr>
      <w:r>
        <w:t>七、实验总结</w:t>
      </w:r>
    </w:p>
    <w:p>
      <w:pPr>
        <w:spacing w:after="120" w:line="300" w:lineRule="auto"/>
      </w:pPr>
      <w:r>
        <w:t>本次建模从功能、静态结构、动态交互、生命周期、流程、组件和部署多个视角描述了智能学习辅助系统。模型反映了项目当前“微服务为主体、单体为过渡层”的架构状态，也体现了同步 Gateway 路由与异步事件驱动分析通知链路的组合。</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F172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