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017C" w:rsidRDefault="009441C5" w:rsidP="009441C5">
      <w:pPr>
        <w:spacing w:line="360" w:lineRule="auto"/>
      </w:pPr>
      <w:r>
        <w:t>Slide 1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5pt;height:201.75pt" o:ole="" o:bordertopcolor="this" o:borderleftcolor="this" o:borderbottomcolor="this" o:borderrightcolor="this">
            <v:imagedata r:id="rId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5" DrawAspect="Content" ObjectID="_1653074072" r:id="rId6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>Agora vamos falar sobre um tópico que parece, inicialmente, não ser relacionado: o cérebro. Entretanto, como veremos à seguir, as idéias que discutimos até agora são úteis na construção de modelos matemáticos da atividade do cérebro. E como veremos, essas ideias que já discutimos, nos ajudaram a entender o funcionamento das redes neurais artificiais.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>Redes neurais artificiais são um das formas mais populares e efetivas para implementação de sistemas de aprendizado e merecem por sí só uma disciplina em separado.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441C5" w:rsidRDefault="009441C5" w:rsidP="009441C5">
      <w:pPr>
        <w:spacing w:line="360" w:lineRule="auto"/>
      </w:pPr>
    </w:p>
    <w:p w:rsidR="009441C5" w:rsidRDefault="009441C5">
      <w:r>
        <w:br w:type="page"/>
      </w:r>
    </w:p>
    <w:p w:rsidR="009441C5" w:rsidRDefault="009441C5" w:rsidP="009441C5">
      <w:pPr>
        <w:spacing w:line="360" w:lineRule="auto"/>
      </w:pPr>
      <w:r>
        <w:lastRenderedPageBreak/>
        <w:t>Slide 2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26" type="#_x0000_t75" style="width:358.5pt;height:201.75pt" o:ole="" o:bordertopcolor="this" o:borderleftcolor="this" o:borderbottomcolor="this" o:borderrightcolor="this">
            <v:imagedata r:id="rId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6" DrawAspect="Content" ObjectID="_1653074073" r:id="rId8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spacing w:line="360" w:lineRule="auto"/>
      </w:pPr>
    </w:p>
    <w:p w:rsidR="009441C5" w:rsidRDefault="009441C5">
      <w:r>
        <w:br w:type="page"/>
      </w:r>
    </w:p>
    <w:p w:rsidR="009441C5" w:rsidRDefault="009441C5" w:rsidP="009441C5">
      <w:pPr>
        <w:spacing w:line="360" w:lineRule="auto"/>
      </w:pPr>
      <w:r>
        <w:lastRenderedPageBreak/>
        <w:t>Slide 3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27" type="#_x0000_t75" style="width:358.5pt;height:201.75pt" o:ole="" o:bordertopcolor="this" o:borderleftcolor="this" o:borderbottomcolor="this" o:borderrightcolor="this">
            <v:imagedata r:id="rId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7" DrawAspect="Content" ObjectID="_1653074074" r:id="rId10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>RNAs são versáteis, poderosas e escalonáveis, tornando-as ideais para realizar tarefas grandes e altamente complexas de Machine Learning, como classificar bilhões de imagens (por exemplo, Google Images), ativar serviços de reconhecimento de fala (por exemplo, o Siri da Apple), recomendar os melhores vídeos assistir a centenas de milhões de usuários todos os dias (por exemplo, YouTube) ou aprender a vencer o campeão mundial no jogo Go examinando milhões de jogos anteriores e depois jogando contra si mesmo (AlphaGo do DeepMind).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441C5" w:rsidRDefault="009441C5" w:rsidP="009441C5">
      <w:pPr>
        <w:spacing w:line="360" w:lineRule="auto"/>
      </w:pPr>
    </w:p>
    <w:p w:rsidR="009441C5" w:rsidRDefault="009441C5">
      <w:r>
        <w:br w:type="page"/>
      </w:r>
    </w:p>
    <w:p w:rsidR="009441C5" w:rsidRDefault="009441C5" w:rsidP="009441C5">
      <w:pPr>
        <w:spacing w:line="360" w:lineRule="auto"/>
      </w:pPr>
      <w:r>
        <w:lastRenderedPageBreak/>
        <w:t>Slide 4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28" type="#_x0000_t75" style="width:358.5pt;height:201.75pt" o:ole="" o:bordertopcolor="this" o:borderleftcolor="this" o:borderbottomcolor="this" o:borderrightcolor="this">
            <v:imagedata r:id="rId1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8" DrawAspect="Content" ObjectID="_1653074075" r:id="rId12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spacing w:line="360" w:lineRule="auto"/>
      </w:pPr>
    </w:p>
    <w:p w:rsidR="009441C5" w:rsidRDefault="009441C5">
      <w:r>
        <w:br w:type="page"/>
      </w:r>
    </w:p>
    <w:p w:rsidR="009441C5" w:rsidRDefault="009441C5" w:rsidP="009441C5">
      <w:pPr>
        <w:spacing w:line="360" w:lineRule="auto"/>
      </w:pPr>
      <w:r>
        <w:lastRenderedPageBreak/>
        <w:t>Slide 5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29" type="#_x0000_t75" style="width:358.5pt;height:201.75pt" o:ole="" o:bordertopcolor="this" o:borderleftcolor="this" o:borderbottomcolor="this" o:borderrightcolor="this">
            <v:imagedata r:id="rId1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9" DrawAspect="Content" ObjectID="_1653074076" r:id="rId14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spacing w:line="360" w:lineRule="auto"/>
      </w:pPr>
    </w:p>
    <w:p w:rsidR="009441C5" w:rsidRDefault="009441C5">
      <w:r>
        <w:br w:type="page"/>
      </w:r>
    </w:p>
    <w:p w:rsidR="009441C5" w:rsidRDefault="009441C5" w:rsidP="009441C5">
      <w:pPr>
        <w:spacing w:line="360" w:lineRule="auto"/>
      </w:pPr>
      <w:r>
        <w:lastRenderedPageBreak/>
        <w:t>Slide 6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30" type="#_x0000_t75" style="width:358.5pt;height:201.75pt" o:ole="" o:bordertopcolor="this" o:borderleftcolor="this" o:borderbottomcolor="this" o:borderrightcolor="this">
            <v:imagedata r:id="rId1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0" DrawAspect="Content" ObjectID="_1653074077" r:id="rId16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>O final do século XIX e o início do século XX foram períodos fundamentais para o estabelecimento da visão atual do sistema nervoso. Quando Warren McCulloch e Walter Pitts apresentaram o primeiro modelo “computacional” de neurônio em 1943, já haviam sido identificados vários elementos considerados centrais até hoje.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>O modelo de McCulloch e Pitts parece “simples” quando comparado à alguns modelos empregados hoje em dia, mas sua importância foi enorme. A partir desse modelo, foi possível estabelecer uma conexão entre o funcionamento de um neurônio e a lógica proposicional. A partir daí, a relação com a computação digital foi natural.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</w:p>
    <w:p w:rsidR="009441C5" w:rsidRP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  <w:lang w:val="en-US"/>
        </w:rPr>
      </w:pPr>
      <w:r w:rsidRPr="009441C5">
        <w:rPr>
          <w:rFonts w:ascii="Calibri" w:hAnsi="Calibri" w:cs="Calibri"/>
          <w:kern w:val="24"/>
          <w:sz w:val="24"/>
          <w:szCs w:val="24"/>
          <w:lang w:val="en-US"/>
        </w:rPr>
        <w:t xml:space="preserve">Artigo seminal de McCulloch e Pitts: </w:t>
      </w:r>
      <w:r>
        <w:rPr>
          <w:rFonts w:ascii="Calibri" w:hAnsi="Calibri" w:cs="Calibri"/>
          <w:kern w:val="24"/>
          <w:sz w:val="24"/>
          <w:szCs w:val="24"/>
          <w:lang w:val="en-US"/>
        </w:rPr>
        <w:t xml:space="preserve">“A Logical Calculus of Ideas Immanent in Nervous Activity,” W. McCulloch and W. Pitts (1943) </w:t>
      </w:r>
      <w:r>
        <w:rPr>
          <w:rFonts w:ascii="Calibri" w:hAnsi="Calibri" w:cs="Calibri"/>
          <w:kern w:val="24"/>
          <w:sz w:val="24"/>
          <w:szCs w:val="24"/>
          <w:lang w:val="en-US"/>
        </w:rPr>
        <w:br/>
      </w:r>
    </w:p>
    <w:p w:rsidR="009441C5" w:rsidRP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9441C5" w:rsidRPr="009441C5" w:rsidRDefault="009441C5" w:rsidP="009441C5">
      <w:pPr>
        <w:spacing w:line="360" w:lineRule="auto"/>
        <w:rPr>
          <w:lang w:val="en-US"/>
        </w:rPr>
      </w:pPr>
    </w:p>
    <w:p w:rsidR="009441C5" w:rsidRPr="009441C5" w:rsidRDefault="009441C5">
      <w:pPr>
        <w:rPr>
          <w:lang w:val="en-US"/>
        </w:rPr>
      </w:pPr>
      <w:r w:rsidRPr="009441C5">
        <w:rPr>
          <w:lang w:val="en-US"/>
        </w:rPr>
        <w:br w:type="page"/>
      </w:r>
    </w:p>
    <w:p w:rsidR="009441C5" w:rsidRDefault="009441C5" w:rsidP="009441C5">
      <w:pPr>
        <w:spacing w:line="360" w:lineRule="auto"/>
      </w:pPr>
      <w:r>
        <w:lastRenderedPageBreak/>
        <w:t>Slide 7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31" type="#_x0000_t75" style="width:358.5pt;height:201.75pt" o:ole="" o:bordertopcolor="this" o:borderleftcolor="this" o:borderbottomcolor="this" o:borderrightcolor="this">
            <v:imagedata r:id="rId1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1" DrawAspect="Content" ObjectID="_1653074078" r:id="rId18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 xml:space="preserve">Entradas inibitórias são entradas que tem seus valores </w:t>
      </w:r>
      <w:r>
        <w:rPr>
          <w:rFonts w:ascii="Calibri" w:hAnsi="Calibri" w:cs="Calibri"/>
          <w:b/>
          <w:bCs/>
          <w:i/>
          <w:iCs/>
          <w:kern w:val="24"/>
          <w:sz w:val="24"/>
          <w:szCs w:val="24"/>
        </w:rPr>
        <w:t>‘negados’</w:t>
      </w:r>
      <w:r>
        <w:rPr>
          <w:rFonts w:ascii="Calibri" w:hAnsi="Calibri" w:cs="Calibri"/>
          <w:kern w:val="24"/>
          <w:sz w:val="24"/>
          <w:szCs w:val="24"/>
        </w:rPr>
        <w:t>.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441C5" w:rsidRDefault="009441C5" w:rsidP="009441C5">
      <w:pPr>
        <w:spacing w:line="360" w:lineRule="auto"/>
      </w:pPr>
    </w:p>
    <w:p w:rsidR="009441C5" w:rsidRDefault="009441C5">
      <w:r>
        <w:br w:type="page"/>
      </w:r>
    </w:p>
    <w:p w:rsidR="009441C5" w:rsidRDefault="009441C5" w:rsidP="009441C5">
      <w:pPr>
        <w:spacing w:line="360" w:lineRule="auto"/>
      </w:pPr>
      <w:r>
        <w:lastRenderedPageBreak/>
        <w:t>Slide 8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32" type="#_x0000_t75" style="width:358.5pt;height:201.75pt" o:ole="" o:bordertopcolor="this" o:borderleftcolor="this" o:borderbottomcolor="this" o:borderrightcolor="this">
            <v:imagedata r:id="rId1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2" DrawAspect="Content" ObjectID="_1653074079" r:id="rId20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>Nós podemos dizer que o perceptron é uma rede neural com um único neurônio.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>O Perceptron é um modelo computacional mais geral que o neurônio de Mcculloch Pitts.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>A principal diferença entre o neurônio de Mcculloch Pitts e o Perceptron é uma introdução de pesos sinápticos para entradas e um método para aprender os valores desses pesos.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>Relembrando como o modelo de M-P é ativado (i.e., disparado):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mbria Math" w:eastAsia="Times New Roman" w:hAnsi="Times New Roman" w:cs="Cambria Math"/>
          <w:i/>
          <w:iCs/>
          <w:kern w:val="24"/>
          <w:sz w:val="24"/>
          <w:szCs w:val="24"/>
        </w:rPr>
        <w:t>𝑦=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𝑓﷐𝑔﷐</w:t>
      </w:r>
      <w:r>
        <w:rPr>
          <w:rFonts w:ascii="Cambria Math" w:hAnsi="Cambria Math" w:cs="Cambria Math"/>
          <w:b/>
          <w:bCs/>
          <w:i/>
          <w:iCs/>
          <w:kern w:val="24"/>
          <w:sz w:val="24"/>
          <w:szCs w:val="24"/>
        </w:rPr>
        <w:t>𝒙﷯﷯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=</w:t>
      </w:r>
      <w:r>
        <w:rPr>
          <w:rFonts w:ascii="Cambria Math" w:eastAsia="Times New Roman" w:hAnsi="Times New Roman" w:cs="Cambria Math"/>
          <w:i/>
          <w:iCs/>
          <w:kern w:val="24"/>
          <w:sz w:val="24"/>
          <w:szCs w:val="24"/>
        </w:rPr>
        <w:t xml:space="preserve">1, </w:t>
      </w:r>
      <w:r>
        <w:rPr>
          <w:rFonts w:ascii="Cambria Math" w:eastAsia="Times New Roman" w:hAnsi="Times New Roman" w:cs="Cambria Math"/>
          <w:kern w:val="24"/>
          <w:sz w:val="24"/>
          <w:szCs w:val="24"/>
        </w:rPr>
        <w:t>se</w:t>
      </w:r>
      <w:r>
        <w:rPr>
          <w:rFonts w:ascii="Cambria Math" w:eastAsia="Times New Roman" w:hAnsi="Times New Roman" w:cs="Cambria Math"/>
          <w:i/>
          <w:iCs/>
          <w:kern w:val="24"/>
          <w:sz w:val="24"/>
          <w:szCs w:val="24"/>
        </w:rPr>
        <w:t xml:space="preserve"> 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𝑔﷐</w:t>
      </w:r>
      <w:r>
        <w:rPr>
          <w:rFonts w:ascii="Cambria Math" w:hAnsi="Cambria Math" w:cs="Cambria Math"/>
          <w:b/>
          <w:bCs/>
          <w:i/>
          <w:iCs/>
          <w:kern w:val="24"/>
          <w:sz w:val="24"/>
          <w:szCs w:val="24"/>
        </w:rPr>
        <w:t>𝒙﷯</w:t>
      </w:r>
      <w:r>
        <w:rPr>
          <w:rFonts w:ascii="Cambria Math" w:eastAsia="Times New Roman" w:hAnsi="Times New Roman" w:cs="Cambria Math"/>
          <w:b/>
          <w:bCs/>
          <w:i/>
          <w:iCs/>
          <w:kern w:val="24"/>
          <w:sz w:val="24"/>
          <w:szCs w:val="24"/>
        </w:rPr>
        <w:t>≥</w:t>
      </w:r>
      <w:r>
        <w:rPr>
          <w:rFonts w:ascii="Cambria Math" w:eastAsia="Times New Roman" w:hAnsi="Times New Roman" w:cs="Cambria Math"/>
          <w:b/>
          <w:bCs/>
          <w:i/>
          <w:iCs/>
          <w:kern w:val="24"/>
          <w:sz w:val="24"/>
          <w:szCs w:val="24"/>
        </w:rPr>
        <w:t xml:space="preserve"> </w:t>
      </w:r>
      <w:r>
        <w:rPr>
          <w:rFonts w:ascii="Cambria Math" w:eastAsia="Times New Roman" w:hAnsi="Times New Roman" w:cs="Cambria Math"/>
          <w:i/>
          <w:iCs/>
          <w:kern w:val="24"/>
          <w:sz w:val="24"/>
          <w:szCs w:val="24"/>
        </w:rPr>
        <w:t>𝜃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 xml:space="preserve">Reescrevendo 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𝑔﷐</w:t>
      </w:r>
      <w:r>
        <w:rPr>
          <w:rFonts w:ascii="Cambria Math" w:hAnsi="Cambria Math" w:cs="Cambria Math"/>
          <w:b/>
          <w:bCs/>
          <w:i/>
          <w:iCs/>
          <w:kern w:val="24"/>
          <w:sz w:val="24"/>
          <w:szCs w:val="24"/>
        </w:rPr>
        <w:t>𝒙﷯=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﷐𝑖=1﷮𝑁﷮﷐𝑥﷮𝑖﷯﷯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mbria Math" w:eastAsia="Times New Roman" w:hAnsi="Times New Roman" w:cs="Cambria Math"/>
          <w:i/>
          <w:iCs/>
          <w:kern w:val="24"/>
          <w:sz w:val="24"/>
          <w:szCs w:val="24"/>
        </w:rPr>
        <w:t>𝑦=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𝑓﷐𝑔﷐</w:t>
      </w:r>
      <w:r>
        <w:rPr>
          <w:rFonts w:ascii="Cambria Math" w:hAnsi="Cambria Math" w:cs="Cambria Math"/>
          <w:b/>
          <w:bCs/>
          <w:i/>
          <w:iCs/>
          <w:kern w:val="24"/>
          <w:sz w:val="24"/>
          <w:szCs w:val="24"/>
        </w:rPr>
        <w:t>𝒙﷯﷯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=</w:t>
      </w:r>
      <w:r>
        <w:rPr>
          <w:rFonts w:ascii="Cambria Math" w:eastAsia="Times New Roman" w:hAnsi="Times New Roman" w:cs="Cambria Math"/>
          <w:i/>
          <w:iCs/>
          <w:kern w:val="24"/>
          <w:sz w:val="24"/>
          <w:szCs w:val="24"/>
        </w:rPr>
        <w:t xml:space="preserve">1, </w:t>
      </w:r>
      <w:r>
        <w:rPr>
          <w:rFonts w:ascii="Cambria Math" w:eastAsia="Times New Roman" w:hAnsi="Times New Roman" w:cs="Cambria Math"/>
          <w:kern w:val="24"/>
          <w:sz w:val="24"/>
          <w:szCs w:val="24"/>
        </w:rPr>
        <w:t>se</w:t>
      </w:r>
      <w:r>
        <w:rPr>
          <w:rFonts w:ascii="Cambria Math" w:eastAsia="Times New Roman" w:hAnsi="Times New Roman" w:cs="Cambria Math"/>
          <w:i/>
          <w:iCs/>
          <w:kern w:val="24"/>
          <w:sz w:val="24"/>
          <w:szCs w:val="24"/>
        </w:rPr>
        <w:t xml:space="preserve"> 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𝑔﷐</w:t>
      </w:r>
      <w:r>
        <w:rPr>
          <w:rFonts w:ascii="Cambria Math" w:hAnsi="Cambria Math" w:cs="Cambria Math"/>
          <w:b/>
          <w:bCs/>
          <w:i/>
          <w:iCs/>
          <w:kern w:val="24"/>
          <w:sz w:val="24"/>
          <w:szCs w:val="24"/>
        </w:rPr>
        <w:t>𝒙﷯=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﷐𝑖=1﷮𝑁﷮﷐﷐𝑤﷮𝑖﷯𝑥﷮𝑖﷯﷯</w:t>
      </w:r>
      <w:r>
        <w:rPr>
          <w:rFonts w:ascii="Cambria Math" w:eastAsia="Times New Roman" w:hAnsi="Times New Roman" w:cs="Cambria Math"/>
          <w:b/>
          <w:bCs/>
          <w:i/>
          <w:iCs/>
          <w:kern w:val="24"/>
          <w:sz w:val="24"/>
          <w:szCs w:val="24"/>
        </w:rPr>
        <w:t>≥</w:t>
      </w:r>
      <w:r>
        <w:rPr>
          <w:rFonts w:ascii="Cambria Math" w:eastAsia="Times New Roman" w:hAnsi="Times New Roman" w:cs="Cambria Math"/>
          <w:b/>
          <w:bCs/>
          <w:i/>
          <w:iCs/>
          <w:kern w:val="24"/>
          <w:sz w:val="24"/>
          <w:szCs w:val="24"/>
        </w:rPr>
        <w:t xml:space="preserve"> </w:t>
      </w:r>
      <w:r>
        <w:rPr>
          <w:rFonts w:ascii="Cambria Math" w:eastAsia="Times New Roman" w:hAnsi="Times New Roman" w:cs="Cambria Math"/>
          <w:i/>
          <w:iCs/>
          <w:kern w:val="24"/>
          <w:sz w:val="24"/>
          <w:szCs w:val="24"/>
        </w:rPr>
        <w:t>𝜃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 xml:space="preserve">Passando </w:t>
      </w:r>
      <w:r>
        <w:rPr>
          <w:rFonts w:ascii="Cambria Math" w:eastAsia="Times New Roman" w:hAnsi="Times New Roman" w:cs="Cambria Math"/>
          <w:i/>
          <w:iCs/>
          <w:kern w:val="24"/>
          <w:sz w:val="24"/>
          <w:szCs w:val="24"/>
        </w:rPr>
        <w:t>𝜃</w:t>
      </w:r>
      <w:r>
        <w:rPr>
          <w:rFonts w:ascii="Calibri" w:hAnsi="Calibri" w:cs="Calibri"/>
          <w:kern w:val="24"/>
          <w:sz w:val="24"/>
          <w:szCs w:val="24"/>
        </w:rPr>
        <w:t xml:space="preserve"> para o lado esquerdo da desigualdade, tem-se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mbria Math" w:eastAsia="Times New Roman" w:hAnsi="Times New Roman" w:cs="Cambria Math"/>
          <w:i/>
          <w:iCs/>
          <w:kern w:val="24"/>
          <w:sz w:val="24"/>
          <w:szCs w:val="24"/>
        </w:rPr>
        <w:t>𝑦=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𝑓﷐𝑔﷐</w:t>
      </w:r>
      <w:r>
        <w:rPr>
          <w:rFonts w:ascii="Cambria Math" w:hAnsi="Cambria Math" w:cs="Cambria Math"/>
          <w:b/>
          <w:bCs/>
          <w:i/>
          <w:iCs/>
          <w:kern w:val="24"/>
          <w:sz w:val="24"/>
          <w:szCs w:val="24"/>
        </w:rPr>
        <w:t>𝒙﷯﷯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=</w:t>
      </w:r>
      <w:r>
        <w:rPr>
          <w:rFonts w:ascii="Cambria Math" w:eastAsia="Times New Roman" w:hAnsi="Times New Roman" w:cs="Cambria Math"/>
          <w:i/>
          <w:iCs/>
          <w:kern w:val="24"/>
          <w:sz w:val="24"/>
          <w:szCs w:val="24"/>
        </w:rPr>
        <w:t xml:space="preserve">1, </w:t>
      </w:r>
      <w:r>
        <w:rPr>
          <w:rFonts w:ascii="Cambria Math" w:eastAsia="Times New Roman" w:hAnsi="Times New Roman" w:cs="Cambria Math"/>
          <w:kern w:val="24"/>
          <w:sz w:val="24"/>
          <w:szCs w:val="24"/>
        </w:rPr>
        <w:t>se</w:t>
      </w:r>
      <w:r>
        <w:rPr>
          <w:rFonts w:ascii="Cambria Math" w:eastAsia="Times New Roman" w:hAnsi="Times New Roman" w:cs="Cambria Math"/>
          <w:i/>
          <w:iCs/>
          <w:kern w:val="24"/>
          <w:sz w:val="24"/>
          <w:szCs w:val="24"/>
        </w:rPr>
        <w:t xml:space="preserve"> 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𝑔﷐</w:t>
      </w:r>
      <w:r>
        <w:rPr>
          <w:rFonts w:ascii="Cambria Math" w:hAnsi="Cambria Math" w:cs="Cambria Math"/>
          <w:b/>
          <w:bCs/>
          <w:i/>
          <w:iCs/>
          <w:kern w:val="24"/>
          <w:sz w:val="24"/>
          <w:szCs w:val="24"/>
        </w:rPr>
        <w:t>𝒙﷯=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﷐𝑖=1﷮𝑁﷮﷐﷐𝑤﷮𝑖﷯𝑥﷮𝑖﷯−</w:t>
      </w:r>
      <w:r>
        <w:rPr>
          <w:rFonts w:ascii="Cambria Math" w:eastAsia="Times New Roman" w:hAnsi="Times New Roman" w:cs="Cambria Math"/>
          <w:i/>
          <w:iCs/>
          <w:kern w:val="24"/>
          <w:sz w:val="24"/>
          <w:szCs w:val="24"/>
        </w:rPr>
        <w:t>𝜃</w:t>
      </w:r>
      <w:r>
        <w:rPr>
          <w:rFonts w:ascii="Calibri" w:hAnsi="Calibri" w:cs="Calibri"/>
          <w:kern w:val="24"/>
          <w:sz w:val="24"/>
          <w:szCs w:val="24"/>
        </w:rPr>
        <w:t xml:space="preserve"> 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﷯</w:t>
      </w:r>
      <w:r>
        <w:rPr>
          <w:rFonts w:ascii="Cambria Math" w:eastAsia="Times New Roman" w:hAnsi="Times New Roman" w:cs="Cambria Math"/>
          <w:b/>
          <w:bCs/>
          <w:i/>
          <w:iCs/>
          <w:kern w:val="24"/>
          <w:sz w:val="24"/>
          <w:szCs w:val="24"/>
        </w:rPr>
        <w:t>≥</w:t>
      </w:r>
      <w:r>
        <w:rPr>
          <w:rFonts w:ascii="Cambria Math" w:eastAsia="Times New Roman" w:hAnsi="Times New Roman" w:cs="Cambria Math"/>
          <w:kern w:val="24"/>
          <w:sz w:val="24"/>
          <w:szCs w:val="24"/>
        </w:rPr>
        <w:t>0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 xml:space="preserve">Se considerarmos 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﷐𝑥﷮0﷯=1</w:t>
      </w:r>
      <w:r>
        <w:rPr>
          <w:rFonts w:ascii="Calibri" w:hAnsi="Calibri" w:cs="Calibri"/>
          <w:kern w:val="24"/>
          <w:sz w:val="24"/>
          <w:szCs w:val="24"/>
        </w:rPr>
        <w:t xml:space="preserve"> e 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﷐𝑤﷮0﷯=−</w:t>
      </w:r>
      <w:r>
        <w:rPr>
          <w:rFonts w:ascii="Cambria Math" w:eastAsia="Times New Roman" w:hAnsi="Times New Roman" w:cs="Cambria Math"/>
          <w:i/>
          <w:iCs/>
          <w:kern w:val="24"/>
          <w:sz w:val="24"/>
          <w:szCs w:val="24"/>
        </w:rPr>
        <w:t>𝜃</w:t>
      </w:r>
      <w:r>
        <w:rPr>
          <w:rFonts w:ascii="Calibri" w:hAnsi="Calibri" w:cs="Calibri"/>
          <w:kern w:val="24"/>
          <w:sz w:val="24"/>
          <w:szCs w:val="24"/>
        </w:rPr>
        <w:t>, etão podemos reescrever a equação acima como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mbria Math" w:eastAsia="Times New Roman" w:hAnsi="Times New Roman" w:cs="Cambria Math"/>
          <w:i/>
          <w:iCs/>
          <w:kern w:val="24"/>
          <w:sz w:val="24"/>
          <w:szCs w:val="24"/>
        </w:rPr>
        <w:t>𝑦=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𝑓﷐𝑔﷐</w:t>
      </w:r>
      <w:r>
        <w:rPr>
          <w:rFonts w:ascii="Cambria Math" w:hAnsi="Cambria Math" w:cs="Cambria Math"/>
          <w:b/>
          <w:bCs/>
          <w:i/>
          <w:iCs/>
          <w:kern w:val="24"/>
          <w:sz w:val="24"/>
          <w:szCs w:val="24"/>
        </w:rPr>
        <w:t>𝒙﷯﷯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=</w:t>
      </w:r>
      <w:r>
        <w:rPr>
          <w:rFonts w:ascii="Cambria Math" w:eastAsia="Times New Roman" w:hAnsi="Times New Roman" w:cs="Cambria Math"/>
          <w:i/>
          <w:iCs/>
          <w:kern w:val="24"/>
          <w:sz w:val="24"/>
          <w:szCs w:val="24"/>
        </w:rPr>
        <w:t xml:space="preserve">1, </w:t>
      </w:r>
      <w:r>
        <w:rPr>
          <w:rFonts w:ascii="Cambria Math" w:eastAsia="Times New Roman" w:hAnsi="Times New Roman" w:cs="Cambria Math"/>
          <w:kern w:val="24"/>
          <w:sz w:val="24"/>
          <w:szCs w:val="24"/>
        </w:rPr>
        <w:t>se</w:t>
      </w:r>
      <w:r>
        <w:rPr>
          <w:rFonts w:ascii="Cambria Math" w:eastAsia="Times New Roman" w:hAnsi="Times New Roman" w:cs="Cambria Math"/>
          <w:i/>
          <w:iCs/>
          <w:kern w:val="24"/>
          <w:sz w:val="24"/>
          <w:szCs w:val="24"/>
        </w:rPr>
        <w:t xml:space="preserve"> 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𝑔﷐</w:t>
      </w:r>
      <w:r>
        <w:rPr>
          <w:rFonts w:ascii="Cambria Math" w:hAnsi="Cambria Math" w:cs="Cambria Math"/>
          <w:b/>
          <w:bCs/>
          <w:i/>
          <w:iCs/>
          <w:kern w:val="24"/>
          <w:sz w:val="24"/>
          <w:szCs w:val="24"/>
        </w:rPr>
        <w:t>𝒙﷯=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﷐𝑖=0﷮𝑁﷮﷐𝑤﷮𝑖﷯﷐𝑥﷮𝑖﷯</w:t>
      </w:r>
      <w:r>
        <w:rPr>
          <w:rFonts w:ascii="Calibri" w:hAnsi="Calibri" w:cs="Calibri"/>
          <w:kern w:val="24"/>
          <w:sz w:val="24"/>
          <w:szCs w:val="24"/>
        </w:rPr>
        <w:t xml:space="preserve"> 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﷯</w:t>
      </w:r>
      <w:r>
        <w:rPr>
          <w:rFonts w:ascii="Cambria Math" w:eastAsia="Times New Roman" w:hAnsi="Times New Roman" w:cs="Cambria Math"/>
          <w:b/>
          <w:bCs/>
          <w:i/>
          <w:iCs/>
          <w:kern w:val="24"/>
          <w:sz w:val="24"/>
          <w:szCs w:val="24"/>
        </w:rPr>
        <w:t>≥</w:t>
      </w:r>
      <w:r>
        <w:rPr>
          <w:rFonts w:ascii="Cambria Math" w:eastAsia="Times New Roman" w:hAnsi="Times New Roman" w:cs="Cambria Math"/>
          <w:kern w:val="24"/>
          <w:sz w:val="24"/>
          <w:szCs w:val="24"/>
        </w:rPr>
        <w:t>0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 xml:space="preserve">Desta forma, o limiar de ativação é absorvido pelo somatório e podemos usar a função de ativação centrada em zero, pois agora, ajusta-se o limiar de ativação indiretamente, através da atualização do peso 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﷐𝑤﷮0﷯</w:t>
      </w:r>
      <w:r>
        <w:rPr>
          <w:rFonts w:ascii="Calibri" w:hAnsi="Calibri" w:cs="Calibri"/>
          <w:kern w:val="24"/>
          <w:sz w:val="24"/>
          <w:szCs w:val="24"/>
        </w:rPr>
        <w:t>, que é normalmente chamado de bias.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 xml:space="preserve">A partir da equação acima, deve ficar claro que mesmo um Perceptron separa o espaço de entrada em duas metades. Todas as entradas que produzem 1 ficam em um lado e todas as entradas que produzem 0 ficam em outro lado. 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441C5" w:rsidRDefault="009441C5" w:rsidP="009441C5">
      <w:pPr>
        <w:spacing w:line="360" w:lineRule="auto"/>
      </w:pPr>
    </w:p>
    <w:p w:rsidR="009441C5" w:rsidRDefault="009441C5">
      <w:r>
        <w:br w:type="page"/>
      </w:r>
    </w:p>
    <w:p w:rsidR="009441C5" w:rsidRDefault="009441C5" w:rsidP="009441C5">
      <w:pPr>
        <w:spacing w:line="360" w:lineRule="auto"/>
      </w:pPr>
      <w:r>
        <w:lastRenderedPageBreak/>
        <w:t>Slide 9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33" type="#_x0000_t75" style="width:358.5pt;height:201.75pt" o:ole="" o:bordertopcolor="this" o:borderleftcolor="this" o:borderbottomcolor="this" o:borderrightcolor="this">
            <v:imagedata r:id="rId2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3" DrawAspect="Content" ObjectID="_1653074080" r:id="rId22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 xml:space="preserve">Existem várias outras funções de ativação: </w:t>
      </w:r>
      <w:r>
        <w:rPr>
          <w:rFonts w:ascii="Calibri" w:hAnsi="Calibri" w:cs="Calibri"/>
          <w:kern w:val="24"/>
          <w:sz w:val="24"/>
          <w:szCs w:val="24"/>
          <w:u w:val="single"/>
        </w:rPr>
        <w:t>https://en.wikipedia.org/wiki/Activation_function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441C5" w:rsidRDefault="009441C5" w:rsidP="009441C5">
      <w:pPr>
        <w:spacing w:line="360" w:lineRule="auto"/>
      </w:pPr>
    </w:p>
    <w:p w:rsidR="009441C5" w:rsidRDefault="009441C5">
      <w:r>
        <w:br w:type="page"/>
      </w:r>
    </w:p>
    <w:p w:rsidR="009441C5" w:rsidRDefault="009441C5" w:rsidP="009441C5">
      <w:pPr>
        <w:spacing w:line="360" w:lineRule="auto"/>
      </w:pPr>
      <w:r>
        <w:lastRenderedPageBreak/>
        <w:t>Slide 10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34" type="#_x0000_t75" style="width:358.5pt;height:201.75pt" o:ole="" o:bordertopcolor="this" o:borderleftcolor="this" o:borderbottomcolor="this" o:borderrightcolor="this">
            <v:imagedata r:id="rId2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4" DrawAspect="Content" ObjectID="_1653074081" r:id="rId24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 xml:space="preserve">Perceba que a </w:t>
      </w:r>
      <w:r>
        <w:rPr>
          <w:rFonts w:ascii="Calibri" w:hAnsi="Calibri" w:cs="Calibri"/>
          <w:b/>
          <w:bCs/>
          <w:i/>
          <w:iCs/>
          <w:kern w:val="24"/>
          <w:sz w:val="24"/>
          <w:szCs w:val="24"/>
        </w:rPr>
        <w:t>equação de adaptação dos</w:t>
      </w:r>
      <w:r>
        <w:rPr>
          <w:rFonts w:ascii="Calibri" w:hAnsi="Calibri" w:cs="Calibri"/>
          <w:kern w:val="24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i/>
          <w:iCs/>
          <w:kern w:val="24"/>
          <w:sz w:val="24"/>
          <w:szCs w:val="24"/>
        </w:rPr>
        <w:t xml:space="preserve">pesos sinápticos </w:t>
      </w:r>
      <w:r>
        <w:rPr>
          <w:rFonts w:ascii="Calibri" w:hAnsi="Calibri" w:cs="Calibri"/>
          <w:kern w:val="24"/>
          <w:sz w:val="24"/>
          <w:szCs w:val="24"/>
        </w:rPr>
        <w:t>é idêntica à equação de atualização que encontramos para regressores lineares.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>Como ambos, o rótulo d e o valor de saída do perceptron y, assumes apenas 2 valores, 0 ou 1, existem apenas 3 possibilidades para a equação de atualização dos pesos:</w:t>
      </w:r>
    </w:p>
    <w:p w:rsidR="009441C5" w:rsidRDefault="009441C5" w:rsidP="009441C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1080" w:hanging="360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>Se a saída for correta, i.e., d=y, então os pesos não são atualizados.</w:t>
      </w:r>
    </w:p>
    <w:p w:rsidR="009441C5" w:rsidRDefault="009441C5" w:rsidP="009441C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1080" w:hanging="360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 xml:space="preserve">Se d = 1 mas y=0, então o valor do peso é aumentado caso a entrada correspondente, xi, seja positiva e diminuído caso xi seja negativo. Isso faz sentido pois nós queremos que o valor de 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﷐</w:t>
      </w:r>
      <w:r>
        <w:rPr>
          <w:rFonts w:ascii="Cambria Math" w:hAnsi="Cambria Math" w:cs="Cambria Math"/>
          <w:b/>
          <w:bCs/>
          <w:i/>
          <w:iCs/>
          <w:kern w:val="24"/>
          <w:sz w:val="24"/>
          <w:szCs w:val="24"/>
        </w:rPr>
        <w:t>𝒘﷮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𝑇﷯</w:t>
      </w:r>
      <w:r>
        <w:rPr>
          <w:rFonts w:ascii="Cambria Math" w:hAnsi="Cambria Math" w:cs="Cambria Math"/>
          <w:b/>
          <w:bCs/>
          <w:i/>
          <w:iCs/>
          <w:kern w:val="24"/>
          <w:sz w:val="24"/>
          <w:szCs w:val="24"/>
        </w:rPr>
        <w:t>𝒙</w:t>
      </w:r>
      <w:r>
        <w:rPr>
          <w:rFonts w:ascii="Calibri" w:hAnsi="Calibri" w:cs="Calibri"/>
          <w:kern w:val="24"/>
          <w:sz w:val="24"/>
          <w:szCs w:val="24"/>
        </w:rPr>
        <w:t xml:space="preserve"> aumente tal que y se torne 1.</w:t>
      </w:r>
    </w:p>
    <w:p w:rsidR="009441C5" w:rsidRDefault="009441C5" w:rsidP="009441C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1080" w:hanging="360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 xml:space="preserve">Se d = 0 mas y=1, então o valor do peso é diminuido caso a entrada correspondente, xi, seja positiva e aumentado caso xi seja negativo. Isso faz sentido pois nós queremos que o valor de 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﷐</w:t>
      </w:r>
      <w:r>
        <w:rPr>
          <w:rFonts w:ascii="Cambria Math" w:hAnsi="Cambria Math" w:cs="Cambria Math"/>
          <w:b/>
          <w:bCs/>
          <w:i/>
          <w:iCs/>
          <w:kern w:val="24"/>
          <w:sz w:val="24"/>
          <w:szCs w:val="24"/>
        </w:rPr>
        <w:t>𝒘﷮</w:t>
      </w:r>
      <w:r>
        <w:rPr>
          <w:rFonts w:ascii="Cambria Math" w:hAnsi="Cambria Math" w:cs="Cambria Math"/>
          <w:i/>
          <w:iCs/>
          <w:kern w:val="24"/>
          <w:sz w:val="24"/>
          <w:szCs w:val="24"/>
        </w:rPr>
        <w:t>𝑇﷯</w:t>
      </w:r>
      <w:r>
        <w:rPr>
          <w:rFonts w:ascii="Cambria Math" w:hAnsi="Cambria Math" w:cs="Cambria Math"/>
          <w:b/>
          <w:bCs/>
          <w:i/>
          <w:iCs/>
          <w:kern w:val="24"/>
          <w:sz w:val="24"/>
          <w:szCs w:val="24"/>
        </w:rPr>
        <w:t>𝒙</w:t>
      </w:r>
      <w:r>
        <w:rPr>
          <w:rFonts w:ascii="Calibri" w:hAnsi="Calibri" w:cs="Calibri"/>
          <w:kern w:val="24"/>
          <w:sz w:val="24"/>
          <w:szCs w:val="24"/>
        </w:rPr>
        <w:t xml:space="preserve"> diminua tal que y se torne 0.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kern w:val="24"/>
          <w:sz w:val="24"/>
          <w:szCs w:val="24"/>
        </w:rPr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441C5" w:rsidRDefault="009441C5" w:rsidP="009441C5">
      <w:pPr>
        <w:spacing w:line="360" w:lineRule="auto"/>
      </w:pPr>
    </w:p>
    <w:p w:rsidR="009441C5" w:rsidRDefault="009441C5">
      <w:r>
        <w:br w:type="page"/>
      </w:r>
    </w:p>
    <w:p w:rsidR="009441C5" w:rsidRDefault="009441C5" w:rsidP="009441C5">
      <w:pPr>
        <w:spacing w:line="360" w:lineRule="auto"/>
      </w:pPr>
      <w:r>
        <w:lastRenderedPageBreak/>
        <w:t>Slide 11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35" type="#_x0000_t75" style="width:358.5pt;height:201.75pt" o:ole="" o:bordertopcolor="this" o:borderleftcolor="this" o:borderbottomcolor="this" o:borderrightcolor="this">
            <v:imagedata r:id="rId2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5" DrawAspect="Content" ObjectID="_1653074082" r:id="rId26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</w:rPr>
        <w:t>Como você pode ter percebido, o algoritmo de aprendizado do Perceptron se parece muito com o do gradiente descendente estocástico. De fato, a classe Perceptron da biblioteca Scikit-Learn é equivalente a usar um SGDClassifier com os seguintes hiperparâmetros: loss = "perceptron", learning_rate = "constant", eta0 = 1 (a taxa de aprendizado) e penalty = None (sem regularização).</w:t>
      </w:r>
    </w:p>
    <w:p w:rsidR="009441C5" w:rsidRDefault="009441C5" w:rsidP="009441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441C5" w:rsidRDefault="009441C5" w:rsidP="009441C5">
      <w:pPr>
        <w:spacing w:line="360" w:lineRule="auto"/>
      </w:pPr>
    </w:p>
    <w:p w:rsidR="009441C5" w:rsidRDefault="009441C5">
      <w:r>
        <w:br w:type="page"/>
      </w:r>
    </w:p>
    <w:p w:rsidR="009441C5" w:rsidRDefault="009441C5" w:rsidP="009441C5">
      <w:pPr>
        <w:spacing w:line="360" w:lineRule="auto"/>
      </w:pPr>
      <w:r>
        <w:lastRenderedPageBreak/>
        <w:t>Slide 12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36" type="#_x0000_t75" style="width:358.5pt;height:201.75pt" o:ole="" o:bordertopcolor="this" o:borderleftcolor="this" o:borderbottomcolor="this" o:borderrightcolor="this">
            <v:imagedata r:id="rId2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6" DrawAspect="Content" ObjectID="_1653074083" r:id="rId28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spacing w:line="360" w:lineRule="auto"/>
      </w:pPr>
    </w:p>
    <w:p w:rsidR="009441C5" w:rsidRDefault="009441C5">
      <w:r>
        <w:br w:type="page"/>
      </w:r>
    </w:p>
    <w:p w:rsidR="009441C5" w:rsidRDefault="009441C5" w:rsidP="009441C5">
      <w:pPr>
        <w:spacing w:line="360" w:lineRule="auto"/>
      </w:pPr>
      <w:r>
        <w:lastRenderedPageBreak/>
        <w:t>Slide 13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37" type="#_x0000_t75" style="width:358.5pt;height:201.75pt" o:ole="" o:bordertopcolor="this" o:borderleftcolor="this" o:borderbottomcolor="this" o:borderrightcolor="this">
            <v:imagedata r:id="rId2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7" DrawAspect="Content" ObjectID="_1653074084" r:id="rId30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spacing w:line="360" w:lineRule="auto"/>
      </w:pPr>
    </w:p>
    <w:p w:rsidR="009441C5" w:rsidRDefault="009441C5">
      <w:r>
        <w:br w:type="page"/>
      </w:r>
    </w:p>
    <w:p w:rsidR="009441C5" w:rsidRDefault="009441C5" w:rsidP="009441C5">
      <w:pPr>
        <w:spacing w:line="360" w:lineRule="auto"/>
      </w:pPr>
      <w:r>
        <w:lastRenderedPageBreak/>
        <w:t>Slide 14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38" type="#_x0000_t75" style="width:358.5pt;height:201.75pt" o:ole="" o:bordertopcolor="this" o:borderleftcolor="this" o:borderbottomcolor="this" o:borderrightcolor="this">
            <v:imagedata r:id="rId3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8" DrawAspect="Content" ObjectID="_1653074085" r:id="rId32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spacing w:line="360" w:lineRule="auto"/>
      </w:pPr>
    </w:p>
    <w:p w:rsidR="009441C5" w:rsidRDefault="009441C5">
      <w:r>
        <w:br w:type="page"/>
      </w:r>
    </w:p>
    <w:p w:rsidR="009441C5" w:rsidRDefault="009441C5" w:rsidP="009441C5">
      <w:pPr>
        <w:spacing w:line="360" w:lineRule="auto"/>
      </w:pPr>
      <w:r>
        <w:lastRenderedPageBreak/>
        <w:t>Slide 15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39" type="#_x0000_t75" style="width:358.5pt;height:201.75pt" o:ole="" o:bordertopcolor="this" o:borderleftcolor="this" o:borderbottomcolor="this" o:borderrightcolor="this">
            <v:imagedata r:id="rId3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9" DrawAspect="Content" ObjectID="_1653074086" r:id="rId34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spacing w:line="360" w:lineRule="auto"/>
      </w:pPr>
    </w:p>
    <w:p w:rsidR="009441C5" w:rsidRDefault="009441C5">
      <w:r>
        <w:br w:type="page"/>
      </w:r>
    </w:p>
    <w:p w:rsidR="009441C5" w:rsidRDefault="009441C5" w:rsidP="009441C5">
      <w:pPr>
        <w:spacing w:line="360" w:lineRule="auto"/>
      </w:pPr>
      <w:r>
        <w:lastRenderedPageBreak/>
        <w:t>Slide 16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40" type="#_x0000_t75" style="width:358.5pt;height:201.75pt" o:ole="" o:bordertopcolor="this" o:borderleftcolor="this" o:borderbottomcolor="this" o:borderrightcolor="this">
            <v:imagedata r:id="rId3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0" DrawAspect="Content" ObjectID="_1653074087" r:id="rId36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spacing w:line="360" w:lineRule="auto"/>
      </w:pPr>
    </w:p>
    <w:p w:rsidR="009441C5" w:rsidRDefault="009441C5">
      <w:r>
        <w:br w:type="page"/>
      </w:r>
    </w:p>
    <w:p w:rsidR="009441C5" w:rsidRDefault="009441C5" w:rsidP="009441C5">
      <w:pPr>
        <w:spacing w:line="360" w:lineRule="auto"/>
      </w:pPr>
      <w:r>
        <w:lastRenderedPageBreak/>
        <w:t>Slide 17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41" type="#_x0000_t75" style="width:358.5pt;height:201.75pt" o:ole="" o:bordertopcolor="this" o:borderleftcolor="this" o:borderbottomcolor="this" o:borderrightcolor="this">
            <v:imagedata r:id="rId3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1" DrawAspect="Content" ObjectID="_1653074088" r:id="rId38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spacing w:line="360" w:lineRule="auto"/>
      </w:pPr>
    </w:p>
    <w:p w:rsidR="009441C5" w:rsidRDefault="009441C5">
      <w:r>
        <w:br w:type="page"/>
      </w:r>
    </w:p>
    <w:p w:rsidR="009441C5" w:rsidRDefault="009441C5" w:rsidP="009441C5">
      <w:pPr>
        <w:spacing w:line="360" w:lineRule="auto"/>
      </w:pPr>
      <w:r>
        <w:lastRenderedPageBreak/>
        <w:t>Slide 18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42" type="#_x0000_t75" style="width:358.5pt;height:201.75pt" o:ole="" o:bordertopcolor="this" o:borderleftcolor="this" o:borderbottomcolor="this" o:borderrightcolor="this">
            <v:imagedata r:id="rId3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2" DrawAspect="Content" ObjectID="_1653074089" r:id="rId40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spacing w:line="360" w:lineRule="auto"/>
      </w:pPr>
    </w:p>
    <w:p w:rsidR="009441C5" w:rsidRDefault="009441C5">
      <w:r>
        <w:br w:type="page"/>
      </w:r>
    </w:p>
    <w:p w:rsidR="009441C5" w:rsidRDefault="009441C5" w:rsidP="009441C5">
      <w:pPr>
        <w:spacing w:line="360" w:lineRule="auto"/>
      </w:pPr>
      <w:r>
        <w:lastRenderedPageBreak/>
        <w:t>Slide 19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43" type="#_x0000_t75" style="width:358.5pt;height:201.75pt" o:ole="" o:bordertopcolor="this" o:borderleftcolor="this" o:borderbottomcolor="this" o:borderrightcolor="this">
            <v:imagedata r:id="rId4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3" DrawAspect="Content" ObjectID="_1653074090" r:id="rId42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spacing w:line="360" w:lineRule="auto"/>
      </w:pPr>
    </w:p>
    <w:p w:rsidR="009441C5" w:rsidRDefault="009441C5">
      <w:r>
        <w:br w:type="page"/>
      </w:r>
    </w:p>
    <w:p w:rsidR="009441C5" w:rsidRDefault="009441C5" w:rsidP="009441C5">
      <w:pPr>
        <w:spacing w:line="360" w:lineRule="auto"/>
      </w:pPr>
      <w:r>
        <w:lastRenderedPageBreak/>
        <w:t>Slide 20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44" type="#_x0000_t75" style="width:358.5pt;height:201.75pt" o:ole="" o:bordertopcolor="this" o:borderleftcolor="this" o:borderbottomcolor="this" o:borderrightcolor="this">
            <v:imagedata r:id="rId4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4" DrawAspect="Content" ObjectID="_1653074091" r:id="rId44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spacing w:line="360" w:lineRule="auto"/>
      </w:pPr>
    </w:p>
    <w:p w:rsidR="009441C5" w:rsidRDefault="009441C5">
      <w:r>
        <w:br w:type="page"/>
      </w:r>
    </w:p>
    <w:p w:rsidR="009441C5" w:rsidRDefault="009441C5" w:rsidP="009441C5">
      <w:pPr>
        <w:spacing w:line="360" w:lineRule="auto"/>
      </w:pPr>
      <w:r>
        <w:lastRenderedPageBreak/>
        <w:t>Slide 21</w:t>
      </w:r>
    </w:p>
    <w:p w:rsidR="009441C5" w:rsidRDefault="009441C5" w:rsidP="009441C5">
      <w:pPr>
        <w:spacing w:line="360" w:lineRule="auto"/>
      </w:pPr>
    </w:p>
    <w:p w:rsidR="009441C5" w:rsidRDefault="009441C5" w:rsidP="009441C5">
      <w:pPr>
        <w:spacing w:line="360" w:lineRule="auto"/>
        <w:jc w:val="center"/>
      </w:pPr>
      <w:r>
        <w:object w:dxaOrig="9558" w:dyaOrig="5390">
          <v:shape id="_x0000_i1045" type="#_x0000_t75" style="width:358.5pt;height:201.75pt" o:ole="" o:bordertopcolor="this" o:borderleftcolor="this" o:borderbottomcolor="this" o:borderrightcolor="this">
            <v:imagedata r:id="rId4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5" DrawAspect="Content" ObjectID="_1653074092" r:id="rId46"/>
        </w:object>
      </w:r>
    </w:p>
    <w:p w:rsidR="009441C5" w:rsidRDefault="009441C5" w:rsidP="009441C5">
      <w:pPr>
        <w:spacing w:line="360" w:lineRule="auto"/>
        <w:jc w:val="center"/>
      </w:pPr>
    </w:p>
    <w:p w:rsidR="009441C5" w:rsidRDefault="009441C5" w:rsidP="009441C5">
      <w:pPr>
        <w:spacing w:line="360" w:lineRule="auto"/>
      </w:pPr>
      <w:bookmarkStart w:id="0" w:name="_GoBack"/>
    </w:p>
    <w:bookmarkEnd w:id="0"/>
    <w:p w:rsidR="009441C5" w:rsidRDefault="009441C5" w:rsidP="009441C5">
      <w:pPr>
        <w:spacing w:line="360" w:lineRule="auto"/>
      </w:pPr>
    </w:p>
    <w:sectPr w:rsidR="009441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30EAD9F4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Calibri" w:hAnsi="Calibri" w:cs="Calibri" w:hint="default"/>
          <w:sz w:val="24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1C5"/>
    <w:rsid w:val="006E6645"/>
    <w:rsid w:val="009441C5"/>
    <w:rsid w:val="00DC3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C883FA-825C-4DC2-ACEB-B3EEEC8FF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PowerPoint_Slide7.sldx"/><Relationship Id="rId26" Type="http://schemas.openxmlformats.org/officeDocument/2006/relationships/package" Target="embeddings/Microsoft_PowerPoint_Slide11.sldx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package" Target="embeddings/Microsoft_PowerPoint_Slide15.sldx"/><Relationship Id="rId42" Type="http://schemas.openxmlformats.org/officeDocument/2006/relationships/package" Target="embeddings/Microsoft_PowerPoint_Slide19.sldx"/><Relationship Id="rId47" Type="http://schemas.openxmlformats.org/officeDocument/2006/relationships/fontTable" Target="fontTable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package" Target="embeddings/Microsoft_PowerPoint_Slide6.sldx"/><Relationship Id="rId29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package" Target="embeddings/Microsoft_PowerPoint_Slide1.sldx"/><Relationship Id="rId11" Type="http://schemas.openxmlformats.org/officeDocument/2006/relationships/image" Target="media/image4.emf"/><Relationship Id="rId24" Type="http://schemas.openxmlformats.org/officeDocument/2006/relationships/package" Target="embeddings/Microsoft_PowerPoint_Slide10.sldx"/><Relationship Id="rId32" Type="http://schemas.openxmlformats.org/officeDocument/2006/relationships/package" Target="embeddings/Microsoft_PowerPoint_Slide14.sldx"/><Relationship Id="rId37" Type="http://schemas.openxmlformats.org/officeDocument/2006/relationships/image" Target="media/image17.emf"/><Relationship Id="rId40" Type="http://schemas.openxmlformats.org/officeDocument/2006/relationships/package" Target="embeddings/Microsoft_PowerPoint_Slide18.sldx"/><Relationship Id="rId45" Type="http://schemas.openxmlformats.org/officeDocument/2006/relationships/image" Target="media/image21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PowerPoint_Slide12.sldx"/><Relationship Id="rId36" Type="http://schemas.openxmlformats.org/officeDocument/2006/relationships/package" Target="embeddings/Microsoft_PowerPoint_Slide16.sldx"/><Relationship Id="rId10" Type="http://schemas.openxmlformats.org/officeDocument/2006/relationships/package" Target="embeddings/Microsoft_PowerPoint_Slide3.sl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package" Target="embeddings/Microsoft_PowerPoint_Slide20.sld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PowerPoint_Slide5.sldx"/><Relationship Id="rId22" Type="http://schemas.openxmlformats.org/officeDocument/2006/relationships/package" Target="embeddings/Microsoft_PowerPoint_Slide9.sldx"/><Relationship Id="rId27" Type="http://schemas.openxmlformats.org/officeDocument/2006/relationships/image" Target="media/image12.emf"/><Relationship Id="rId30" Type="http://schemas.openxmlformats.org/officeDocument/2006/relationships/package" Target="embeddings/Microsoft_PowerPoint_Slide13.sl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theme" Target="theme/theme1.xml"/><Relationship Id="rId8" Type="http://schemas.openxmlformats.org/officeDocument/2006/relationships/package" Target="embeddings/Microsoft_PowerPoint_Slide2.sldx"/><Relationship Id="rId3" Type="http://schemas.openxmlformats.org/officeDocument/2006/relationships/settings" Target="settings.xml"/><Relationship Id="rId12" Type="http://schemas.openxmlformats.org/officeDocument/2006/relationships/package" Target="embeddings/Microsoft_PowerPoint_Slide4.sl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PowerPoint_Slide17.sldx"/><Relationship Id="rId46" Type="http://schemas.openxmlformats.org/officeDocument/2006/relationships/package" Target="embeddings/Microsoft_PowerPoint_Slide21.sldx"/><Relationship Id="rId20" Type="http://schemas.openxmlformats.org/officeDocument/2006/relationships/package" Target="embeddings/Microsoft_PowerPoint_Slide8.sldx"/><Relationship Id="rId41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847</Words>
  <Characters>4579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Augusto Pereira de Figueiredo</dc:creator>
  <cp:keywords/>
  <dc:description/>
  <cp:lastModifiedBy>Felipe Augusto Pereira de Figueiredo</cp:lastModifiedBy>
  <cp:revision>1</cp:revision>
  <cp:lastPrinted>2020-06-08T01:26:00Z</cp:lastPrinted>
  <dcterms:created xsi:type="dcterms:W3CDTF">2020-06-08T01:24:00Z</dcterms:created>
  <dcterms:modified xsi:type="dcterms:W3CDTF">2020-06-08T01:27:00Z</dcterms:modified>
</cp:coreProperties>
</file>