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32" w:type="dxa"/>
        <w:tblInd w:w="-1586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3649"/>
        <w:gridCol w:w="2285"/>
        <w:gridCol w:w="3258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新一代财富管理平台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基本信息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*产品代码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${prod_code}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*产品名称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${prod_name}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*产品别名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${prod_name}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产品英文名称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*理财产品登记编码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${regist_code}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*自营或代理标志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代理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*产品分类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${prod_classify}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*产品风险等级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${prod_risk_level}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*产品币种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${prod_cur}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钞汇标志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钞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*发行面值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${netprice}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*发行价格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${netprice}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*募集类型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${raise_type}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*是否限制投资者名额：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□是   □否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 投资者名额上限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*募集规模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*最低募集金额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${max_raise_amt}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最高募集金额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${min_raise_amt}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*额度控制标志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□不控制       □控制认购  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□控制申购  □控制认申购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*是否允许实时赎回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□是     □否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工作时段开始时间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工作时段结束时间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实时赎回质押比例(%)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实时赎回资金占用费率(%)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*允许修改分红方式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□允许客户修改    □不允许客户修改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*默认分红方式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bonus_type}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*最小现金分红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*是否跟随系统开市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  □否（开市时间为0:10左右）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开市时间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*闭市时间（开放期）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*产品交易状态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□正常           □停止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*生命周期状态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${prod_status}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日期设置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产品工作日方案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证券交易所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*份额确认天数(工作日)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*募集开始日期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${apply_start_date}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*募集结束日期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${apply_end_date}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*预约认购提前天数(自然日)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open_period_days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预约认购起始日期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apply_start_date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*募集期闭市时间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apply_end_time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*募集结束日截止时间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apply_end_time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*产品成立日期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establish_date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*产品到期日期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end_date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清盘日期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liquidate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产品天数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product_term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到期日是否自动清盘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□是    □否</w:t>
            </w: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产品到期前需提前提供到期通知或公告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*最大预约申购天数(自然日)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open_period_days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*最大预约赎回天数(自然日)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open_period_days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*认购到账天数(工作日)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${subscrip_date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*申购到账天数(工作日)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*赎回到账天数(工作日)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${redemp_date}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*分红到账天数(工作日)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*发行失败到账天数(工作日)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*认申购退款天数(工作日)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定开周期信息设置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*产品开放类型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${open_mod}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*投资周期单位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${open_type}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*投资周期值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*首次开放日期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${open_start_date}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从周期末推算天数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*遇节假日规则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${postpone_rule}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经办：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复核：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附属信息设置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*是否允许未成年人购买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□是     □否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*认购是否计息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${subs_interest_type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*认购计息基数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${subs_interest_days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*个人认购期利率(%)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*法人认购期利率(%)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*同业认购期利率(%)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*认购利息处理方式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□归理财产品资产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□转份额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□转现金分红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*认购计息截止日期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*巨额赎回比例(%)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405"/>
              </w:tabs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${huge_redeem}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*认申购撤单标志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□不可撤单    □隔日不可撤单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赎回明细处理方式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□先进先出 □后进先出 □指定明细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超额认购处理方式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□全额确认处理 □全程比例配售 □末日比列配售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申购超额处理方式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□人工比例设置  □申购先到先得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*产品报价方式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□产品净值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□当日产品收益率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□7日年化收益率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□30日年化收益率 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□业绩比较基准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□同类产品收益率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*按目标客户划分产品类型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□一般个人客户产品 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□高资产净值客户产品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□私人银行客户产品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□机构客户产品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□金融同业产品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*估值系统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□SAMS       □YSS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产品托管人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光大银行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*投资经理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invest_manage_name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产品管理人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光大理财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业绩比较基准(%)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base_rate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业绩比较基准(文本)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${perf_method_explain}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同类产品收益率(%)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产品精度参数设置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费用计算精度类型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□进位 □截掉   □四舍五入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金额计算精度类型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□进位 □截掉   □四舍五入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份额计算精度类型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□进位 □截掉   □四舍五入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分红计算精度类型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□进位 □截掉  □四舍五入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利息计算精度类型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□进位 □截掉   □四舍五入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*净值展示小数位数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□4    □6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产品销售商设置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*销售商代码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${distributor_code}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*可销售标志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□不可销售 □可以销售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*认购到账天数(工作日)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redemp_date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*申购到账天数(工作日)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*赎回到账天数(工作日)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${redeem_arrival_date}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*分红到账天数(工作日)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认购账务模式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申购账务模式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资金实际到客户账日期=产品端到账天数+销售商到帐天数</w:t>
            </w: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(光大银行客户为行内账户，资金实际到客户账日期=产品端到账天数为0天)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产品交易控制设置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控制类型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□渠道      □销售商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渠道代码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□图前柜台   □智能柜台   □新一代理财   □手机银行   □语音系统   □客服系统    □网银    ■625金融开放平台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交易代码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□认购 □预约认购 □申购 □预约申购 □赎回□预约赎回 □实时赎回□普通购买撤单□预约购买撤单 □赎回撤单 □客户分红方式设置 □时点持有证明打印□时段持有证明打印 □回收时段持有证明 □定期定额申购开通□定期定额申购修改 □定期定额申购撤销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□份额冻结（渠道端暂不开通） □份额解冻（渠道端暂不开通）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□柜员购买交易抹帐 □柜员赎回交易抹帐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控制状态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□允许交易   □当日不允许交易     □永久不允许交易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经办：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复核：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产品限额信息设置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*产品销售对象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${prod_sale_custom}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可销售分行机构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总行—分行—支行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*首次投资认定标准 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□有份额算追加  □有交易记录算追加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实时赎回分时段控制标志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□是   □否  （允许实时赎回后，参数为必填项）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产品每日允许实时赎回比例(%)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（允许实时赎回后，参数为必填项）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产品最低持有天数(自然日)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非必输项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产品最高持有天数(自然日)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非必输项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法人类型投资者销售设置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*法人最小购买单位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${min_subs_mechanism}</w:t>
            </w: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*法人首次最低投资金额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${min_first_apply_mechanism}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*法人追加最低投资金额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min_subs_append_mechanism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法人单笔购买最大金额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法人最低持有份额 （低于该份额系统将被强制赎回)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${min_hold_mechanism}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法人单笔最小赎回单位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*法人单笔最小赎回份额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${min_redeem_mechanism}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法人单笔最大赎回份额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法人每日累计赎回最大份额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产品每日累计赎回最大份额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产品每日实时赎回最大金额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针对实时赎回产品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法人单笔实时赎回最大金额（工作时段）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法人每日累计实时赎回最大金额（工作时段）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法人单笔实时赎回最大金额（非工作时段）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法人每日累计实时赎回最大金额（非工作时段）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个人类型投资者销售设置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*个人最小购买单位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min_subs_person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*个人首次最低投资金额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${min_first_apply_person}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*个人追加最低投资金额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${min_subs_append_person}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个人单笔购买最大金额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*个人最低持有份额 （低于该份额系统将被强制赎回)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个人单笔最小赎回单位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*个人单笔最小赎回份额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${min_redeem_person}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个人单笔最大赎回份额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个人每日累计赎回最大份额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产品每日累计赎回最大份额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无限制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产品每日实时赎回最大金额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针对实时赎回产品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个人单笔实时赎回最大金额（工作时段）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个人每日累计实时赎回最大金额（工作时段）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个人单笔实时赎回最大金额（非工作时段）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个人每日累计实时赎回最大金额（非工作时段）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同业类型投资者销售设置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*同业最小购买单位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${min_subs_interbank} </w:t>
            </w: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*同业首次最低投资金额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${min_first_apply_interbank}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*同业追加最低投资金额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${min_step_apply_interbank}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同业单笔购买最大金额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*同业最低持有份额 （低于该份额系统将被强制赎回)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产品每日累计购买最大金额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同业单笔最小赎回单位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*同业单笔最小赎回份额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${min_redeem_interbank}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同业单笔最大赎回份额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同业每日累计赎回最大份额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产品每日累计赎回最大份额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产品每日实时赎回最大金额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针对实时赎回产品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同业单笔实时赎回最大金额（工作时段）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同业每日累计实时赎回最大金额（工作时段）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同业单笔实时赎回最大金额（非工作时段）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同业每日累计实时赎回最大金额（非工作时段） 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经办：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复核：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产品标签设置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产品标签信息设置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*产品身份编码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*产品归类编码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*产品七彩分类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${series_name}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*营销分类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${prod_classify}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*产品期限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  <w:t>product_term</w:t>
            </w: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数值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*期限单位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□年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□月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□日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风险提示信息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本产品客户在投资周期内不可提前终止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业绩比较基准(%)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${perf_method_explain}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产品额度设置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本级额度信息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${total_sale_quota}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机动额度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分配总额度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${total_sale_quota} 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个人额度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到总行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对公额度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到总行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同业额度 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到总行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费用分成信息查询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客户维护费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起始金额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截止金额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999,999,999,999.99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分支行占比(%)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费率(%)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0.75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销售服务费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起始金额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截止金额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999,999,999,999.99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分支行占比(%)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费率(%)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5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相关信息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开始时间</w:t>
            </w:r>
          </w:p>
        </w:tc>
        <w:tc>
          <w:tcPr>
            <w:tcW w:w="228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结束时间</w:t>
            </w:r>
          </w:p>
        </w:tc>
        <w:tc>
          <w:tcPr>
            <w:tcW w:w="325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光大银行募集期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非母行代销商募集期（如有）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（注明代销商）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申购费优惠期（如有）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折扣率：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赎回费优惠期（如有）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折扣率：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封闭投资期（暂停赎回）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募集期交易状态</w:t>
            </w:r>
          </w:p>
        </w:tc>
        <w:tc>
          <w:tcPr>
            <w:tcW w:w="919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净值披露频率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光大银行柜台渠道开放时间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光大银行其他渠道开放时间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备注：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经办：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复核：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53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费用方案 交易费用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*费用方案名称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费用类型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认购费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认购费</w:t>
            </w:r>
          </w:p>
        </w:tc>
        <w:tc>
          <w:tcPr>
            <w:tcW w:w="364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*客户类型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${cust_type_deal}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*计费基数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${charging_index_deal}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*计算方式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${charging_method}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基本费率（%如分段则无需）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${base_fee_rate}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最高费用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${max_cost}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最低费用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${min_cost}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是否按金额分段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${is_amt_segment}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0-10000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10000-999999999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申购费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*客户类型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${cust_type_deal1}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*计费基数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${charging_index_deal1}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*收费类别（零钱通不适用）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后收手续费打折方式（后收费必填）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*计算方式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${charging_method1}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基本费率（%如分段则无需）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${base_fee_rate1}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最低费用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${min_cost1}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最高费用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${max_cost1}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是否按金额分段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${is_amt_segment1}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赎回费</w:t>
            </w:r>
          </w:p>
        </w:tc>
        <w:tc>
          <w:tcPr>
            <w:tcW w:w="364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*客户类型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${cust_type_deal2}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*赎回费计算方式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${charging_method2}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*赎回费归资产比例（%）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基本费率（%如分段则无需）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${base_fee_rate2}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最低费用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${min_cost2}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最高费用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${max_cost2}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是否按持有时间分段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  <w:lang w:val="en-US" w:eastAsia="zh-CN"/>
              </w:rPr>
              <w:t>${is_amt_segment2}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经办：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复核：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如有行外代销商：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销售商名称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销售商代码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备注信息</w:t>
            </w:r>
          </w:p>
        </w:tc>
        <w:tc>
          <w:tcPr>
            <w:tcW w:w="9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开放平台部经办</w:t>
            </w:r>
          </w:p>
        </w:tc>
        <w:tc>
          <w:tcPr>
            <w:tcW w:w="3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b/>
                <w:i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细黑" w:hAnsi="华文细黑" w:eastAsia="华文细黑" w:cs="华文细黑"/>
                <w:b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开放平台部复核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华文细黑" w:hAnsi="华文细黑" w:eastAsia="华文细黑" w:cs="华文细黑"/>
                <w:i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987070"/>
    <w:rsid w:val="073C0578"/>
    <w:rsid w:val="078A6A7E"/>
    <w:rsid w:val="0D9567A1"/>
    <w:rsid w:val="13D9606B"/>
    <w:rsid w:val="14D40727"/>
    <w:rsid w:val="172865E9"/>
    <w:rsid w:val="1BEF26F3"/>
    <w:rsid w:val="1C5006F5"/>
    <w:rsid w:val="1DE418DE"/>
    <w:rsid w:val="1FD0715A"/>
    <w:rsid w:val="204258E8"/>
    <w:rsid w:val="210C10F6"/>
    <w:rsid w:val="22494265"/>
    <w:rsid w:val="24B34AD4"/>
    <w:rsid w:val="26361DAA"/>
    <w:rsid w:val="278C48B4"/>
    <w:rsid w:val="2B5E509D"/>
    <w:rsid w:val="2C931F51"/>
    <w:rsid w:val="2D56562C"/>
    <w:rsid w:val="2EE407A9"/>
    <w:rsid w:val="3143292E"/>
    <w:rsid w:val="351E2AAC"/>
    <w:rsid w:val="36C47878"/>
    <w:rsid w:val="395B534B"/>
    <w:rsid w:val="3C22359F"/>
    <w:rsid w:val="41890A77"/>
    <w:rsid w:val="4B6B25BA"/>
    <w:rsid w:val="4C1468A3"/>
    <w:rsid w:val="52312F9E"/>
    <w:rsid w:val="52E22946"/>
    <w:rsid w:val="53295CA1"/>
    <w:rsid w:val="575D35CA"/>
    <w:rsid w:val="58BF6A1F"/>
    <w:rsid w:val="58EB36FA"/>
    <w:rsid w:val="59641B86"/>
    <w:rsid w:val="5E09056F"/>
    <w:rsid w:val="61A734F0"/>
    <w:rsid w:val="626A325D"/>
    <w:rsid w:val="62E70F6A"/>
    <w:rsid w:val="648C13A6"/>
    <w:rsid w:val="657D4D31"/>
    <w:rsid w:val="68832C49"/>
    <w:rsid w:val="68A856A6"/>
    <w:rsid w:val="6A4326EC"/>
    <w:rsid w:val="6F190EE5"/>
    <w:rsid w:val="6F4A7EFE"/>
    <w:rsid w:val="73200A16"/>
    <w:rsid w:val="74A565B1"/>
    <w:rsid w:val="75D54033"/>
    <w:rsid w:val="762228C2"/>
    <w:rsid w:val="7A7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91"/>
    <w:basedOn w:val="3"/>
    <w:qFormat/>
    <w:uiPriority w:val="0"/>
    <w:rPr>
      <w:rFonts w:hint="eastAsia" w:ascii="华文细黑" w:hAnsi="华文细黑" w:eastAsia="华文细黑" w:cs="华文细黑"/>
      <w:b/>
      <w:color w:val="FF0000"/>
      <w:sz w:val="20"/>
      <w:szCs w:val="20"/>
      <w:u w:val="none"/>
    </w:rPr>
  </w:style>
  <w:style w:type="character" w:customStyle="1" w:styleId="5">
    <w:name w:val="font21"/>
    <w:basedOn w:val="3"/>
    <w:qFormat/>
    <w:uiPriority w:val="0"/>
    <w:rPr>
      <w:rFonts w:hint="eastAsia" w:ascii="华文细黑" w:hAnsi="华文细黑" w:eastAsia="华文细黑" w:cs="华文细黑"/>
      <w:b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2021-03-10T08:51:00Z</dcterms:created>
  <dc:creator>wukui</dc:creator>
  <cp:lastModifiedBy>18621</cp:lastModifiedBy>
  <dcterms:modified xsi:type="dcterms:W3CDTF">2021-03-19T03:34:29Z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D84021D7A93A4DF4BE046714CD3D9A87</vt:lpwstr>
  </property>
</Properties>
</file>