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Consulta de procedimentos internos com banco vetorial</w:t>
      </w:r>
    </w:p>
    <w:p>
      <w:pPr>
        <w:pStyle w:val="Subtitle"/>
      </w:pPr>
      <w:r>
        <w:t>Aplicação prática com Qdrant e embeddings multilíngues</w:t>
      </w:r>
    </w:p>
    <w:p>
      <w:r>
        <w:t>Grupo 3 • Tópicos de Banco de Dados • Outubro de 2026</w:t>
      </w:r>
    </w:p>
    <w:p>
      <w:r>
        <w:t>A aplicação desenvolvida permite encontrar orientações de uma empresa usando perguntas em linguagem natural. Ela transforma documentos e perguntas em vetores, pesquisa os trechos mais próximos no Qdrant e apresenta o conteúdo original com a fonte. O código, a base de demonstração e as evidências de execução acompanham este relatório.</w:t>
      </w:r>
    </w:p>
    <w:p>
      <w:pPr>
        <w:pStyle w:val="Heading1"/>
      </w:pPr>
      <w:r>
        <w:t>1. Problema e objetivo</w:t>
      </w:r>
    </w:p>
    <w:p>
      <w:r>
        <w:t>Funcionários nem sempre conhecem o nome de uma política ou a expressão usada em um manual. Uma pessoa pode perguntar como aprovar uma compra emergencial, enquanto o documento trata de aquisição urgente. Uma pesquisa que exige os mesmos termos pode deixar de localizar a orientação adequada.</w:t>
      </w:r>
    </w:p>
    <w:p>
      <w:r>
        <w:t>O objetivo é recuperar os procedimentos relacionados ao significado da pergunta e permitir a conferência no documento de origem. O caso aplica a seção 5.5 do documento BancoDeDadosVetoriais e o exemplo empresarial apresentado no slide 10 do PPTX fornecido.</w:t>
      </w:r>
    </w:p>
    <w:p>
      <w:r>
        <w:t>A Empresa Horizonte e suas políticas são fictícias. O problema de localizar informações internas é real, mas as regras operacionais deste experimento não pertencem a uma organização existente.</w:t>
      </w:r>
    </w:p>
    <w:p>
      <w:pPr>
        <w:pStyle w:val="Heading1"/>
      </w:pPr>
      <w:r>
        <w:t>2. Solução implementada</w:t>
      </w:r>
    </w:p>
    <w:tbl>
      <w:tblPr>
        <w:tblW w:type="auto" w:w="0"/>
        <w:jc w:val="center"/>
        <w:tblLayout w:type="fixed"/>
        <w:tblLook w:firstColumn="1" w:firstRow="1" w:lastColumn="0" w:lastRow="0" w:noHBand="0" w:noVBand="1" w:val="04A0"/>
      </w:tblPr>
      <w:tblGrid>
        <w:gridCol w:w="2376"/>
        <w:gridCol w:w="7416"/>
      </w:tblGrid>
      <w:tr>
        <w:trPr>
          <w:cantSplit/>
          <w:tblHeader/>
        </w:trPr>
        <w:tc>
          <w:tcPr>
            <w:tcW w:type="dxa" w:w="23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FEFEF"/>
          </w:tcPr>
          <w:p>
            <w:pPr>
              <w:spacing w:after="40" w:line="252" w:lineRule="auto"/>
            </w:pPr>
            <w:r>
              <w:rPr>
                <w:rFonts w:ascii="Arial" w:hAnsi="Arial" w:eastAsia="Arial" w:cs="Arial"/>
                <w:b/>
                <w:sz w:val="21"/>
                <w:color w:val="auto"/>
              </w:rPr>
              <w:t>Componente</w:t>
            </w:r>
          </w:p>
        </w:tc>
        <w:tc>
          <w:tcPr>
            <w:tcW w:type="dxa" w:w="741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FEFEF"/>
          </w:tcPr>
          <w:p>
            <w:pPr>
              <w:spacing w:after="40" w:line="252" w:lineRule="auto"/>
            </w:pPr>
            <w:r>
              <w:rPr>
                <w:rFonts w:ascii="Arial" w:hAnsi="Arial" w:eastAsia="Arial" w:cs="Arial"/>
                <w:b/>
                <w:sz w:val="21"/>
                <w:color w:val="auto"/>
              </w:rPr>
              <w:t>Escolha e função</w:t>
            </w:r>
          </w:p>
        </w:tc>
      </w:tr>
      <w:tr>
        <w:trPr>
          <w:cantSplit/>
        </w:trPr>
        <w:tc>
          <w:tcPr>
            <w:tcW w:type="dxa" w:w="23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line="252" w:lineRule="auto"/>
            </w:pPr>
            <w:r>
              <w:rPr>
                <w:rFonts w:ascii="Arial" w:hAnsi="Arial" w:eastAsia="Arial" w:cs="Arial"/>
                <w:b w:val="0"/>
                <w:sz w:val="21"/>
                <w:color w:val="auto"/>
              </w:rPr>
              <w:t>Banco vetorial</w:t>
            </w:r>
          </w:p>
        </w:tc>
        <w:tc>
          <w:tcPr>
            <w:tcW w:type="dxa" w:w="741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line="252" w:lineRule="auto"/>
            </w:pPr>
            <w:r>
              <w:rPr>
                <w:rFonts w:ascii="Arial" w:hAnsi="Arial" w:eastAsia="Arial" w:cs="Arial"/>
                <w:b w:val="0"/>
                <w:sz w:val="21"/>
                <w:color w:val="auto"/>
              </w:rPr>
              <w:t>Qdrant em modo local persistente. Armazena vetores e metadados e executa as consultas.</w:t>
            </w:r>
          </w:p>
        </w:tc>
      </w:tr>
      <w:tr>
        <w:trPr>
          <w:cantSplit/>
        </w:trPr>
        <w:tc>
          <w:tcPr>
            <w:tcW w:type="dxa" w:w="23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line="252" w:lineRule="auto"/>
            </w:pPr>
            <w:r>
              <w:rPr>
                <w:rFonts w:ascii="Arial" w:hAnsi="Arial" w:eastAsia="Arial" w:cs="Arial"/>
                <w:b w:val="0"/>
                <w:sz w:val="21"/>
                <w:color w:val="auto"/>
              </w:rPr>
              <w:t>Modelo de embedding</w:t>
            </w:r>
          </w:p>
        </w:tc>
        <w:tc>
          <w:tcPr>
            <w:tcW w:type="dxa" w:w="741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line="252" w:lineRule="auto"/>
            </w:pPr>
            <w:r>
              <w:rPr>
                <w:rFonts w:ascii="Arial" w:hAnsi="Arial" w:eastAsia="Arial" w:cs="Arial"/>
                <w:b w:val="0"/>
                <w:sz w:val="21"/>
                <w:color w:val="auto"/>
              </w:rPr>
              <w:t>paraphrase-multilingual-MiniLM-L12-v2. Gera vetores densos de 384 dimensões.</w:t>
            </w:r>
          </w:p>
        </w:tc>
      </w:tr>
      <w:tr>
        <w:trPr>
          <w:cantSplit/>
        </w:trPr>
        <w:tc>
          <w:tcPr>
            <w:tcW w:type="dxa" w:w="23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line="252" w:lineRule="auto"/>
            </w:pPr>
            <w:r>
              <w:rPr>
                <w:rFonts w:ascii="Arial" w:hAnsi="Arial" w:eastAsia="Arial" w:cs="Arial"/>
                <w:b w:val="0"/>
                <w:sz w:val="21"/>
                <w:color w:val="auto"/>
              </w:rPr>
              <w:t>Execução do modelo</w:t>
            </w:r>
          </w:p>
        </w:tc>
        <w:tc>
          <w:tcPr>
            <w:tcW w:type="dxa" w:w="741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line="252" w:lineRule="auto"/>
            </w:pPr>
            <w:r>
              <w:rPr>
                <w:rFonts w:ascii="Arial" w:hAnsi="Arial" w:eastAsia="Arial" w:cs="Arial"/>
                <w:b w:val="0"/>
                <w:sz w:val="21"/>
                <w:color w:val="auto"/>
              </w:rPr>
              <w:t>FastEmbed com ONNX Runtime na CPU, sem chave de API.</w:t>
            </w:r>
          </w:p>
        </w:tc>
      </w:tr>
      <w:tr>
        <w:trPr>
          <w:cantSplit/>
        </w:trPr>
        <w:tc>
          <w:tcPr>
            <w:tcW w:type="dxa" w:w="23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line="252" w:lineRule="auto"/>
            </w:pPr>
            <w:r>
              <w:rPr>
                <w:rFonts w:ascii="Arial" w:hAnsi="Arial" w:eastAsia="Arial" w:cs="Arial"/>
                <w:b w:val="0"/>
                <w:sz w:val="21"/>
                <w:color w:val="auto"/>
              </w:rPr>
              <w:t>Dados</w:t>
            </w:r>
          </w:p>
        </w:tc>
        <w:tc>
          <w:tcPr>
            <w:tcW w:type="dxa" w:w="741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line="252" w:lineRule="auto"/>
            </w:pPr>
            <w:r>
              <w:rPr>
                <w:rFonts w:ascii="Arial" w:hAnsi="Arial" w:eastAsia="Arial" w:cs="Arial"/>
                <w:b w:val="0"/>
                <w:sz w:val="21"/>
                <w:color w:val="auto"/>
              </w:rPr>
              <w:t>12 procedimentos em português, organizados em 24 trechos.</w:t>
            </w:r>
          </w:p>
        </w:tc>
      </w:tr>
      <w:tr>
        <w:trPr>
          <w:cantSplit/>
        </w:trPr>
        <w:tc>
          <w:tcPr>
            <w:tcW w:type="dxa" w:w="23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line="252" w:lineRule="auto"/>
            </w:pPr>
            <w:r>
              <w:rPr>
                <w:rFonts w:ascii="Arial" w:hAnsi="Arial" w:eastAsia="Arial" w:cs="Arial"/>
                <w:b w:val="0"/>
                <w:sz w:val="21"/>
                <w:color w:val="auto"/>
              </w:rPr>
              <w:t>Consulta</w:t>
            </w:r>
          </w:p>
        </w:tc>
        <w:tc>
          <w:tcPr>
            <w:tcW w:type="dxa" w:w="741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line="252" w:lineRule="auto"/>
            </w:pPr>
            <w:r>
              <w:rPr>
                <w:rFonts w:ascii="Arial" w:hAnsi="Arial" w:eastAsia="Arial" w:cs="Arial"/>
                <w:b w:val="0"/>
                <w:sz w:val="21"/>
                <w:color w:val="auto"/>
              </w:rPr>
              <w:t>Top-k por cosseno, filtro opcional por área e fonte em cada resultado.</w:t>
            </w:r>
          </w:p>
        </w:tc>
      </w:tr>
    </w:tbl>
    <w:p>
      <w:pPr>
        <w:spacing w:after="0"/>
      </w:pPr>
    </w:p>
    <w:p>
      <w:r>
        <w:t>O produto entregue é uma busca semântica documental. Ele implementa a recuperação usada em RAG. Uma LLM para redigir respostas seria uma camada adicional; nesta versão, o usuário recebe os trechos originais.</w:t>
      </w:r>
    </w:p>
    <w:p>
      <w:pPr>
        <w:pStyle w:val="Heading1"/>
        <w:pageBreakBefore/>
      </w:pPr>
      <w:r>
        <w:t>3. Organização dos dados e funcionamento</w:t>
      </w:r>
    </w:p>
    <w:p>
      <w:r>
        <w:t>A base contém procedimentos de compras, financeiro, tecnologia, pessoas, administrativo e segurança. Cada documento possui duas seções. A aplicação mantém o vínculo entre o vetor e o conteúdo que o originou.</w:t>
      </w:r>
    </w:p>
    <w:tbl>
      <w:tblPr>
        <w:tblW w:type="auto" w:w="0"/>
        <w:jc w:val="center"/>
        <w:tblLayout w:type="fixed"/>
        <w:tblLook w:firstColumn="1" w:firstRow="1" w:lastColumn="0" w:lastRow="0" w:noHBand="0" w:noVBand="1" w:val="04A0"/>
      </w:tblPr>
      <w:tblGrid>
        <w:gridCol w:w="2880"/>
        <w:gridCol w:w="6912"/>
      </w:tblGrid>
      <w:tr>
        <w:trPr>
          <w:cantSplit/>
          <w:tblHeader/>
        </w:trPr>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FEFEF"/>
          </w:tcPr>
          <w:p>
            <w:pPr>
              <w:spacing w:after="40" w:line="252" w:lineRule="auto"/>
            </w:pPr>
            <w:r>
              <w:rPr>
                <w:rFonts w:ascii="Arial" w:hAnsi="Arial" w:eastAsia="Arial" w:cs="Arial"/>
                <w:b/>
                <w:sz w:val="21"/>
                <w:color w:val="auto"/>
              </w:rPr>
              <w:t>Campo</w:t>
            </w:r>
          </w:p>
        </w:tc>
        <w:tc>
          <w:tcPr>
            <w:tcW w:type="dxa" w:w="691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FEFEF"/>
          </w:tcPr>
          <w:p>
            <w:pPr>
              <w:spacing w:after="40" w:line="252" w:lineRule="auto"/>
            </w:pPr>
            <w:r>
              <w:rPr>
                <w:rFonts w:ascii="Arial" w:hAnsi="Arial" w:eastAsia="Arial" w:cs="Arial"/>
                <w:b/>
                <w:sz w:val="21"/>
                <w:color w:val="auto"/>
              </w:rPr>
              <w:t>Exemplo</w:t>
            </w:r>
          </w:p>
        </w:tc>
      </w:tr>
      <w:tr>
        <w:trPr>
          <w:cantSplit/>
        </w:trPr>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line="252" w:lineRule="auto"/>
            </w:pPr>
            <w:r>
              <w:rPr>
                <w:rFonts w:ascii="Arial" w:hAnsi="Arial" w:eastAsia="Arial" w:cs="Arial"/>
                <w:b w:val="0"/>
                <w:sz w:val="21"/>
                <w:color w:val="auto"/>
              </w:rPr>
              <w:t>Identificador do documento</w:t>
            </w:r>
          </w:p>
        </w:tc>
        <w:tc>
          <w:tcPr>
            <w:tcW w:type="dxa" w:w="691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line="252" w:lineRule="auto"/>
            </w:pPr>
            <w:r>
              <w:rPr>
                <w:rFonts w:ascii="Arial" w:hAnsi="Arial" w:eastAsia="Arial" w:cs="Arial"/>
                <w:b w:val="0"/>
                <w:sz w:val="21"/>
                <w:color w:val="auto"/>
              </w:rPr>
              <w:t>PR001</w:t>
            </w:r>
          </w:p>
        </w:tc>
      </w:tr>
      <w:tr>
        <w:trPr>
          <w:cantSplit/>
        </w:trPr>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line="252" w:lineRule="auto"/>
            </w:pPr>
            <w:r>
              <w:rPr>
                <w:rFonts w:ascii="Arial" w:hAnsi="Arial" w:eastAsia="Arial" w:cs="Arial"/>
                <w:b w:val="0"/>
                <w:sz w:val="21"/>
                <w:color w:val="auto"/>
              </w:rPr>
              <w:t>Título</w:t>
            </w:r>
          </w:p>
        </w:tc>
        <w:tc>
          <w:tcPr>
            <w:tcW w:type="dxa" w:w="691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line="252" w:lineRule="auto"/>
            </w:pPr>
            <w:r>
              <w:rPr>
                <w:rFonts w:ascii="Arial" w:hAnsi="Arial" w:eastAsia="Arial" w:cs="Arial"/>
                <w:b w:val="0"/>
                <w:sz w:val="21"/>
                <w:color w:val="auto"/>
              </w:rPr>
              <w:t>Aquisição urgente de materiais</w:t>
            </w:r>
          </w:p>
        </w:tc>
      </w:tr>
      <w:tr>
        <w:trPr>
          <w:cantSplit/>
        </w:trPr>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line="252" w:lineRule="auto"/>
            </w:pPr>
            <w:r>
              <w:rPr>
                <w:rFonts w:ascii="Arial" w:hAnsi="Arial" w:eastAsia="Arial" w:cs="Arial"/>
                <w:b w:val="0"/>
                <w:sz w:val="21"/>
                <w:color w:val="auto"/>
              </w:rPr>
              <w:t>Área</w:t>
            </w:r>
          </w:p>
        </w:tc>
        <w:tc>
          <w:tcPr>
            <w:tcW w:type="dxa" w:w="691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line="252" w:lineRule="auto"/>
            </w:pPr>
            <w:r>
              <w:rPr>
                <w:rFonts w:ascii="Arial" w:hAnsi="Arial" w:eastAsia="Arial" w:cs="Arial"/>
                <w:b w:val="0"/>
                <w:sz w:val="21"/>
                <w:color w:val="auto"/>
              </w:rPr>
              <w:t>Compras</w:t>
            </w:r>
          </w:p>
        </w:tc>
      </w:tr>
      <w:tr>
        <w:trPr>
          <w:cantSplit/>
        </w:trPr>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line="252" w:lineRule="auto"/>
            </w:pPr>
            <w:r>
              <w:rPr>
                <w:rFonts w:ascii="Arial" w:hAnsi="Arial" w:eastAsia="Arial" w:cs="Arial"/>
                <w:b w:val="0"/>
                <w:sz w:val="21"/>
                <w:color w:val="auto"/>
              </w:rPr>
              <w:t>Fonte e versão</w:t>
            </w:r>
          </w:p>
        </w:tc>
        <w:tc>
          <w:tcPr>
            <w:tcW w:type="dxa" w:w="691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line="252" w:lineRule="auto"/>
            </w:pPr>
            <w:r>
              <w:rPr>
                <w:rFonts w:ascii="Arial" w:hAnsi="Arial" w:eastAsia="Arial" w:cs="Arial"/>
                <w:b w:val="0"/>
                <w:sz w:val="21"/>
                <w:color w:val="auto"/>
              </w:rPr>
              <w:t>Empresa Horizonte fictícia PR001, versão 1.0</w:t>
            </w:r>
          </w:p>
        </w:tc>
      </w:tr>
      <w:tr>
        <w:trPr>
          <w:cantSplit/>
        </w:trPr>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line="252" w:lineRule="auto"/>
            </w:pPr>
            <w:r>
              <w:rPr>
                <w:rFonts w:ascii="Arial" w:hAnsi="Arial" w:eastAsia="Arial" w:cs="Arial"/>
                <w:b w:val="0"/>
                <w:sz w:val="21"/>
                <w:color w:val="auto"/>
              </w:rPr>
              <w:t>Seção e trecho</w:t>
            </w:r>
          </w:p>
        </w:tc>
        <w:tc>
          <w:tcPr>
            <w:tcW w:type="dxa" w:w="691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line="252" w:lineRule="auto"/>
            </w:pPr>
            <w:r>
              <w:rPr>
                <w:rFonts w:ascii="Arial" w:hAnsi="Arial" w:eastAsia="Arial" w:cs="Arial"/>
                <w:b w:val="0"/>
                <w:sz w:val="21"/>
                <w:color w:val="auto"/>
              </w:rPr>
              <w:t>Autorização da aquisição, PR001-S2-T1</w:t>
            </w:r>
          </w:p>
        </w:tc>
      </w:tr>
      <w:tr>
        <w:trPr>
          <w:cantSplit/>
        </w:trPr>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line="252" w:lineRule="auto"/>
            </w:pPr>
            <w:r>
              <w:rPr>
                <w:rFonts w:ascii="Arial" w:hAnsi="Arial" w:eastAsia="Arial" w:cs="Arial"/>
                <w:b w:val="0"/>
                <w:sz w:val="21"/>
                <w:color w:val="auto"/>
              </w:rPr>
              <w:t>Embedding</w:t>
            </w:r>
          </w:p>
        </w:tc>
        <w:tc>
          <w:tcPr>
            <w:tcW w:type="dxa" w:w="691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line="252" w:lineRule="auto"/>
            </w:pPr>
            <w:r>
              <w:rPr>
                <w:rFonts w:ascii="Arial" w:hAnsi="Arial" w:eastAsia="Arial" w:cs="Arial"/>
                <w:b w:val="0"/>
                <w:sz w:val="21"/>
                <w:color w:val="auto"/>
              </w:rPr>
              <w:t>384 valores numéricos gerados a partir de título, seção e texto</w:t>
            </w:r>
          </w:p>
        </w:tc>
      </w:tr>
    </w:tbl>
    <w:p>
      <w:pPr>
        <w:spacing w:after="0"/>
      </w:pPr>
    </w:p>
    <w:p>
      <w:pPr>
        <w:pStyle w:val="Heading2"/>
      </w:pPr>
      <w:r>
        <w:t>3.1 Caminho de escrita</w:t>
      </w:r>
    </w:p>
    <w:p>
      <w:r>
        <w:t>A aplicação lê dados/procedimentos.json e valida os identificadores. Cada seção é dividida em janelas de até 70 palavras, com 12 palavras de sobreposição. Nesta base, as 24 seções cabem em janelas únicas, totalizando 24 trechos.</w:t>
      </w:r>
    </w:p>
    <w:p>
      <w:r>
        <w:t>O modelo vetoriza título, seção e texto. O Qdrant armazena o embedding de 384 dimensões, um identificador estável e os metadados, com métrica de cosseno. Uma assinatura combina base, modelo, versão do FastEmbed e configuração de divisão.</w:t>
      </w:r>
    </w:p>
    <w:p>
      <w:r>
        <w:t>Execuções com a mesma base reutilizam a coleção. Quando o conteúdo muda, uma nova assinatura separa a nova versão das coleções anteriores. Os dados persistem em disco após o encerramento do programa.</w:t>
      </w:r>
    </w:p>
    <w:p>
      <w:pPr>
        <w:pStyle w:val="Heading2"/>
      </w:pPr>
      <w:r>
        <w:t>3.2 Caminho de leitura</w:t>
      </w:r>
    </w:p>
    <w:p>
      <w:r>
        <w:t>A pergunta passa pelo mesmo modelo de embedding. O Qdrant aplica o filtro de área, quando informado, e retorna os k trechos mais próximos por cosseno. A aplicação apresenta os que atingem o limiar configurado, junto com a fonte, a seção e o texto original.</w:t>
      </w:r>
    </w:p>
    <w:p>
      <w:r>
        <w:t>A pontuação de cosseno indica proximidade entre vetores. Ela não representa uma probabilidade de a orientação estar correta. Quando nenhum candidato atinge o limite, a aplicação informa ausência de evidência suficiente e orienta a consulta à área responsável.</w:t>
      </w:r>
    </w:p>
    <w:p>
      <w:pPr>
        <w:pStyle w:val="Heading2"/>
      </w:pPr>
      <w:r>
        <w:t>3.3 Relação com a arquitetura estudada</w:t>
      </w:r>
    </w:p>
    <w:p>
      <w:r>
        <w:t>A implementação aplica embeddings, caminhos de escrita e leitura, metadados e Top-k. O Qdrant local faz busca exata. O experimento não mede HNSW, IVF ou ANN, nem implementa autenticação ou banco relacional.</w:t>
      </w:r>
    </w:p>
    <w:p>
      <w:pPr>
        <w:pStyle w:val="Heading1"/>
        <w:pageBreakBefore/>
      </w:pPr>
      <w:r>
        <w:t>4. Demonstração de um problema do cotidiano</w:t>
      </w:r>
    </w:p>
    <w:p>
      <w:r>
        <w:t>Pergunta do funcionário: “Qual é o procedimento para aprovar uma compra emergencial?”</w:t>
      </w:r>
    </w:p>
    <w:p>
      <w:r>
        <w:t>O texto da política usa “aquisição urgente” e “requisição excepcional”. Apesar da diferença de vocabulário, o procedimento PR001 aparece em primeiro lugar. A consulta sem filtro retornou os seguintes candidatos:</w:t>
      </w:r>
    </w:p>
    <w:tbl>
      <w:tblPr>
        <w:tblW w:type="auto" w:w="0"/>
        <w:jc w:val="center"/>
        <w:tblLayout w:type="fixed"/>
        <w:tblLook w:firstColumn="1" w:firstRow="1" w:lastColumn="0" w:lastRow="0" w:noHBand="0" w:noVBand="1" w:val="04A0"/>
      </w:tblPr>
      <w:tblGrid>
        <w:gridCol w:w="1224"/>
        <w:gridCol w:w="7128"/>
        <w:gridCol w:w="1440"/>
      </w:tblGrid>
      <w:tr>
        <w:trPr>
          <w:cantSplit/>
          <w:tblHeader/>
        </w:trPr>
        <w:tc>
          <w:tcPr>
            <w:tcW w:type="dxa" w:w="122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FEFEF"/>
          </w:tcPr>
          <w:p>
            <w:pPr>
              <w:spacing w:after="40" w:line="252" w:lineRule="auto"/>
            </w:pPr>
            <w:r>
              <w:rPr>
                <w:rFonts w:ascii="Arial" w:hAnsi="Arial" w:eastAsia="Arial" w:cs="Arial"/>
                <w:b/>
                <w:sz w:val="21"/>
                <w:color w:val="auto"/>
              </w:rPr>
              <w:t>Posição</w:t>
            </w:r>
          </w:p>
        </w:tc>
        <w:tc>
          <w:tcPr>
            <w:tcW w:type="dxa" w:w="71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FEFEF"/>
          </w:tcPr>
          <w:p>
            <w:pPr>
              <w:spacing w:after="40" w:line="252" w:lineRule="auto"/>
            </w:pPr>
            <w:r>
              <w:rPr>
                <w:rFonts w:ascii="Arial" w:hAnsi="Arial" w:eastAsia="Arial" w:cs="Arial"/>
                <w:b/>
                <w:sz w:val="21"/>
                <w:color w:val="auto"/>
              </w:rPr>
              <w:t>Procedimento e seção</w:t>
            </w:r>
          </w:p>
        </w:tc>
        <w:tc>
          <w:tcPr>
            <w:tcW w:type="dxa" w:w="144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FEFEF"/>
          </w:tcPr>
          <w:p>
            <w:pPr>
              <w:spacing w:after="40" w:line="252" w:lineRule="auto"/>
            </w:pPr>
            <w:r>
              <w:rPr>
                <w:rFonts w:ascii="Arial" w:hAnsi="Arial" w:eastAsia="Arial" w:cs="Arial"/>
                <w:b/>
                <w:sz w:val="21"/>
                <w:color w:val="auto"/>
              </w:rPr>
              <w:t>Cosseno</w:t>
            </w:r>
          </w:p>
        </w:tc>
      </w:tr>
      <w:tr>
        <w:trPr>
          <w:cantSplit/>
        </w:trPr>
        <w:tc>
          <w:tcPr>
            <w:tcW w:type="dxa" w:w="122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line="252" w:lineRule="auto"/>
            </w:pPr>
            <w:r>
              <w:rPr>
                <w:rFonts w:ascii="Arial" w:hAnsi="Arial" w:eastAsia="Arial" w:cs="Arial"/>
                <w:b w:val="0"/>
                <w:sz w:val="21"/>
                <w:color w:val="auto"/>
              </w:rPr>
              <w:t>1</w:t>
            </w:r>
          </w:p>
        </w:tc>
        <w:tc>
          <w:tcPr>
            <w:tcW w:type="dxa" w:w="71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line="252" w:lineRule="auto"/>
            </w:pPr>
            <w:r>
              <w:rPr>
                <w:rFonts w:ascii="Arial" w:hAnsi="Arial" w:eastAsia="Arial" w:cs="Arial"/>
                <w:b w:val="0"/>
                <w:sz w:val="21"/>
                <w:color w:val="auto"/>
              </w:rPr>
              <w:t>PR001  Abertura da solicitação</w:t>
            </w:r>
          </w:p>
        </w:tc>
        <w:tc>
          <w:tcPr>
            <w:tcW w:type="dxa" w:w="144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line="252" w:lineRule="auto"/>
            </w:pPr>
            <w:r>
              <w:rPr>
                <w:rFonts w:ascii="Arial" w:hAnsi="Arial" w:eastAsia="Arial" w:cs="Arial"/>
                <w:b w:val="0"/>
                <w:sz w:val="21"/>
                <w:color w:val="auto"/>
              </w:rPr>
              <w:t>0,5388</w:t>
            </w:r>
          </w:p>
        </w:tc>
      </w:tr>
      <w:tr>
        <w:trPr>
          <w:cantSplit/>
        </w:trPr>
        <w:tc>
          <w:tcPr>
            <w:tcW w:type="dxa" w:w="122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line="252" w:lineRule="auto"/>
            </w:pPr>
            <w:r>
              <w:rPr>
                <w:rFonts w:ascii="Arial" w:hAnsi="Arial" w:eastAsia="Arial" w:cs="Arial"/>
                <w:b w:val="0"/>
                <w:sz w:val="21"/>
                <w:color w:val="auto"/>
              </w:rPr>
              <w:t>2</w:t>
            </w:r>
          </w:p>
        </w:tc>
        <w:tc>
          <w:tcPr>
            <w:tcW w:type="dxa" w:w="71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line="252" w:lineRule="auto"/>
            </w:pPr>
            <w:r>
              <w:rPr>
                <w:rFonts w:ascii="Arial" w:hAnsi="Arial" w:eastAsia="Arial" w:cs="Arial"/>
                <w:b w:val="0"/>
                <w:sz w:val="21"/>
                <w:color w:val="auto"/>
              </w:rPr>
              <w:t>PR002  Validação e pagamento</w:t>
            </w:r>
          </w:p>
        </w:tc>
        <w:tc>
          <w:tcPr>
            <w:tcW w:type="dxa" w:w="144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line="252" w:lineRule="auto"/>
            </w:pPr>
            <w:r>
              <w:rPr>
                <w:rFonts w:ascii="Arial" w:hAnsi="Arial" w:eastAsia="Arial" w:cs="Arial"/>
                <w:b w:val="0"/>
                <w:sz w:val="21"/>
                <w:color w:val="auto"/>
              </w:rPr>
              <w:t>0,4792</w:t>
            </w:r>
          </w:p>
        </w:tc>
      </w:tr>
      <w:tr>
        <w:trPr>
          <w:cantSplit/>
        </w:trPr>
        <w:tc>
          <w:tcPr>
            <w:tcW w:type="dxa" w:w="122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line="252" w:lineRule="auto"/>
            </w:pPr>
            <w:r>
              <w:rPr>
                <w:rFonts w:ascii="Arial" w:hAnsi="Arial" w:eastAsia="Arial" w:cs="Arial"/>
                <w:b w:val="0"/>
                <w:sz w:val="21"/>
                <w:color w:val="auto"/>
              </w:rPr>
              <w:t>3</w:t>
            </w:r>
          </w:p>
        </w:tc>
        <w:tc>
          <w:tcPr>
            <w:tcW w:type="dxa" w:w="71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line="252" w:lineRule="auto"/>
            </w:pPr>
            <w:r>
              <w:rPr>
                <w:rFonts w:ascii="Arial" w:hAnsi="Arial" w:eastAsia="Arial" w:cs="Arial"/>
                <w:b w:val="0"/>
                <w:sz w:val="21"/>
                <w:color w:val="auto"/>
              </w:rPr>
              <w:t>PR001  Autorização da aquisição</w:t>
            </w:r>
          </w:p>
        </w:tc>
        <w:tc>
          <w:tcPr>
            <w:tcW w:type="dxa" w:w="144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line="252" w:lineRule="auto"/>
            </w:pPr>
            <w:r>
              <w:rPr>
                <w:rFonts w:ascii="Arial" w:hAnsi="Arial" w:eastAsia="Arial" w:cs="Arial"/>
                <w:b w:val="0"/>
                <w:sz w:val="21"/>
                <w:color w:val="auto"/>
              </w:rPr>
              <w:t>0,4762</w:t>
            </w:r>
          </w:p>
        </w:tc>
      </w:tr>
    </w:tbl>
    <w:p>
      <w:pPr>
        <w:spacing w:after="0"/>
      </w:pPr>
    </w:p>
    <w:p>
      <w:r>
        <w:t>O primeiro trecho explica como abrir a requisição. O terceiro apresenta a sequência de autorização. O segundo candidato pertence ao financeiro e não descreve o fluxo dessa aquisição. Esse resultado mostra por que a aplicação exibe a fonte e permite ao usuário conferir o contexto, em vez de tratar toda proximidade vetorial como resposta correta.</w:t>
      </w:r>
    </w:p>
    <w:p>
      <w:pPr>
        <w:pStyle w:val="Heading2"/>
      </w:pPr>
      <w:r>
        <w:t>4.1 Orientação encontrada no documento PR001</w:t>
      </w:r>
    </w:p>
    <w:p>
      <w:r>
        <w:t>1. Abrir uma requisição excepcional no portal de suprimentos e informar o item, a quantidade, a urgência e o impacto da indisponibilidade.</w:t>
      </w:r>
    </w:p>
    <w:p>
      <w:r>
        <w:t>2. Anexar uma estimativa de preço e registrar a justificativa operacional.</w:t>
      </w:r>
    </w:p>
    <w:p>
      <w:r>
        <w:t>3. Obter a validação do gestor da área solicitante e a confirmação de disponibilidade de orçamento pelo financeiro.</w:t>
      </w:r>
    </w:p>
    <w:p>
      <w:r>
        <w:t>4. Encaminhar a autorização ao fornecedor por meio do setor de suprimentos, após as validações.</w:t>
      </w:r>
    </w:p>
    <w:p>
      <w:r>
        <w:t>Essa sequência é uma síntese para apresentação dos dois trechos do PR001. O programa mostra os textos originais, sem gerar essa síntese automaticamente.</w:t>
      </w:r>
    </w:p>
    <w:p>
      <w:pPr>
        <w:pStyle w:val="Heading2"/>
      </w:pPr>
      <w:r>
        <w:t>4.2 Uso do filtro por área</w:t>
      </w:r>
    </w:p>
    <w:p>
      <w:r>
        <w:t>Se o funcionário já sabe que a dúvida pertence a Compras, pode restringir a pesquisa antes da comparação vetorial. O filtro remove do conjunto pesquisado os procedimentos das outras áreas.</w:t>
      </w:r>
    </w:p>
    <w:p>
      <w:pPr>
        <w:spacing w:after="120"/>
        <w:ind w:left="173"/>
      </w:pPr>
      <w:r>
        <w:rPr>
          <w:rFonts w:ascii="Arial" w:hAnsi="Arial" w:eastAsia="Arial" w:cs="Arial"/>
          <w:sz w:val="21"/>
          <w:color w:val="auto"/>
        </w:rPr>
        <w:t>docker compose run --rm app buscar "compra emergencial" --area Compras</w:t>
      </w:r>
    </w:p>
    <w:p>
      <w:r>
        <w:t>O filtro representa uma categoria documental. Ele não comprova a identidade do usuário nem substitui regras de acesso. A demonstração também permite pesquisar recuperação de senha, restituição de viagem, conexão remota e manutenção predial.</w:t>
      </w:r>
    </w:p>
    <w:p>
      <w:pPr>
        <w:pStyle w:val="Heading1"/>
        <w:pageBreakBefore/>
      </w:pPr>
      <w:r>
        <w:t>5. Método e resultados da avaliação</w:t>
      </w:r>
    </w:p>
    <w:p>
      <w:r>
        <w:t>A execução utilizou Python 3.12 em Linux, Qdrant Client 1.15.1, FastEmbed 0.7.3 e o modelo multilíngue em ONNX. Foram cadastradas 12 perguntas com um documento esperado por pergunta e quatro perguntas fora do domínio. Os casos, candidatos, fontes e pontuações estão registrados em evidencias/avaliacao_verificada.json.</w:t>
      </w:r>
    </w:p>
    <w:p>
      <w:r>
        <w:t>A avaliação verificou se o documento esperado aparecia no primeiro trecho ou entre os três primeiros. Para comparação, foi executado um baseline lexical que soma pesos IDF dos termos da pergunta encontrados no texto, após normalização. Esse baseline é simples e não representa todos os recursos de busca lexical.</w:t>
      </w:r>
    </w:p>
    <w:tbl>
      <w:tblPr>
        <w:tblW w:type="auto" w:w="0"/>
        <w:jc w:val="center"/>
        <w:tblLayout w:type="fixed"/>
        <w:tblLook w:firstColumn="1" w:firstRow="1" w:lastColumn="0" w:lastRow="0" w:noHBand="0" w:noVBand="1" w:val="04A0"/>
      </w:tblPr>
      <w:tblGrid>
        <w:gridCol w:w="5472"/>
        <w:gridCol w:w="2160"/>
        <w:gridCol w:w="2160"/>
      </w:tblGrid>
      <w:tr>
        <w:trPr>
          <w:cantSplit/>
          <w:tblHeader/>
        </w:trPr>
        <w:tc>
          <w:tcPr>
            <w:tcW w:type="dxa" w:w="547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FEFEF"/>
          </w:tcPr>
          <w:p>
            <w:pPr>
              <w:spacing w:after="40" w:line="252" w:lineRule="auto"/>
            </w:pPr>
            <w:r>
              <w:rPr>
                <w:rFonts w:ascii="Arial" w:hAnsi="Arial" w:eastAsia="Arial" w:cs="Arial"/>
                <w:b/>
                <w:sz w:val="21"/>
                <w:color w:val="auto"/>
              </w:rPr>
              <w:t>Indicador</w:t>
            </w:r>
          </w:p>
        </w:tc>
        <w:tc>
          <w:tcPr>
            <w:tcW w:type="dxa" w:w="216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FEFEF"/>
          </w:tcPr>
          <w:p>
            <w:pPr>
              <w:spacing w:after="40" w:line="252" w:lineRule="auto"/>
            </w:pPr>
            <w:r>
              <w:rPr>
                <w:rFonts w:ascii="Arial" w:hAnsi="Arial" w:eastAsia="Arial" w:cs="Arial"/>
                <w:b/>
                <w:sz w:val="21"/>
                <w:color w:val="auto"/>
              </w:rPr>
              <w:t>Vetorial</w:t>
            </w:r>
          </w:p>
        </w:tc>
        <w:tc>
          <w:tcPr>
            <w:tcW w:type="dxa" w:w="216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FEFEF"/>
          </w:tcPr>
          <w:p>
            <w:pPr>
              <w:spacing w:after="40" w:line="252" w:lineRule="auto"/>
            </w:pPr>
            <w:r>
              <w:rPr>
                <w:rFonts w:ascii="Arial" w:hAnsi="Arial" w:eastAsia="Arial" w:cs="Arial"/>
                <w:b/>
                <w:sz w:val="21"/>
                <w:color w:val="auto"/>
              </w:rPr>
              <w:t>Lexical</w:t>
            </w:r>
          </w:p>
        </w:tc>
      </w:tr>
      <w:tr>
        <w:trPr>
          <w:cantSplit/>
        </w:trPr>
        <w:tc>
          <w:tcPr>
            <w:tcW w:type="dxa" w:w="547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line="252" w:lineRule="auto"/>
            </w:pPr>
            <w:r>
              <w:rPr>
                <w:rFonts w:ascii="Arial" w:hAnsi="Arial" w:eastAsia="Arial" w:cs="Arial"/>
                <w:b w:val="0"/>
                <w:sz w:val="21"/>
                <w:color w:val="auto"/>
              </w:rPr>
              <w:t>Documento esperado em primeiro lugar</w:t>
            </w:r>
          </w:p>
        </w:tc>
        <w:tc>
          <w:tcPr>
            <w:tcW w:type="dxa" w:w="216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line="252" w:lineRule="auto"/>
            </w:pPr>
            <w:r>
              <w:rPr>
                <w:rFonts w:ascii="Arial" w:hAnsi="Arial" w:eastAsia="Arial" w:cs="Arial"/>
                <w:b w:val="0"/>
                <w:sz w:val="21"/>
                <w:color w:val="auto"/>
              </w:rPr>
              <w:t>11 de 12  91,7%</w:t>
            </w:r>
          </w:p>
        </w:tc>
        <w:tc>
          <w:tcPr>
            <w:tcW w:type="dxa" w:w="216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line="252" w:lineRule="auto"/>
            </w:pPr>
            <w:r>
              <w:rPr>
                <w:rFonts w:ascii="Arial" w:hAnsi="Arial" w:eastAsia="Arial" w:cs="Arial"/>
                <w:b w:val="0"/>
                <w:sz w:val="21"/>
                <w:color w:val="auto"/>
              </w:rPr>
              <w:t>7 de 12  58,3%</w:t>
            </w:r>
          </w:p>
        </w:tc>
      </w:tr>
      <w:tr>
        <w:trPr>
          <w:cantSplit/>
        </w:trPr>
        <w:tc>
          <w:tcPr>
            <w:tcW w:type="dxa" w:w="547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line="252" w:lineRule="auto"/>
            </w:pPr>
            <w:r>
              <w:rPr>
                <w:rFonts w:ascii="Arial" w:hAnsi="Arial" w:eastAsia="Arial" w:cs="Arial"/>
                <w:b w:val="0"/>
                <w:sz w:val="21"/>
                <w:color w:val="auto"/>
              </w:rPr>
              <w:t>Documento esperado entre os três primeiros</w:t>
            </w:r>
          </w:p>
        </w:tc>
        <w:tc>
          <w:tcPr>
            <w:tcW w:type="dxa" w:w="216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line="252" w:lineRule="auto"/>
            </w:pPr>
            <w:r>
              <w:rPr>
                <w:rFonts w:ascii="Arial" w:hAnsi="Arial" w:eastAsia="Arial" w:cs="Arial"/>
                <w:b w:val="0"/>
                <w:sz w:val="21"/>
                <w:color w:val="auto"/>
              </w:rPr>
              <w:t>12 de 12  100%</w:t>
            </w:r>
          </w:p>
        </w:tc>
        <w:tc>
          <w:tcPr>
            <w:tcW w:type="dxa" w:w="216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line="252" w:lineRule="auto"/>
            </w:pPr>
            <w:r>
              <w:rPr>
                <w:rFonts w:ascii="Arial" w:hAnsi="Arial" w:eastAsia="Arial" w:cs="Arial"/>
                <w:b w:val="0"/>
                <w:sz w:val="21"/>
                <w:color w:val="auto"/>
              </w:rPr>
              <w:t>9 de 12  75%</w:t>
            </w:r>
          </w:p>
        </w:tc>
      </w:tr>
      <w:tr>
        <w:trPr>
          <w:cantSplit/>
        </w:trPr>
        <w:tc>
          <w:tcPr>
            <w:tcW w:type="dxa" w:w="547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line="252" w:lineRule="auto"/>
            </w:pPr>
            <w:r>
              <w:rPr>
                <w:rFonts w:ascii="Arial" w:hAnsi="Arial" w:eastAsia="Arial" w:cs="Arial"/>
                <w:b w:val="0"/>
                <w:sz w:val="21"/>
                <w:color w:val="auto"/>
              </w:rPr>
              <w:t>Perguntas fora do domínio sem resultado acima de 0,40</w:t>
            </w:r>
          </w:p>
        </w:tc>
        <w:tc>
          <w:tcPr>
            <w:tcW w:type="dxa" w:w="216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line="252" w:lineRule="auto"/>
            </w:pPr>
            <w:r>
              <w:rPr>
                <w:rFonts w:ascii="Arial" w:hAnsi="Arial" w:eastAsia="Arial" w:cs="Arial"/>
                <w:b w:val="0"/>
                <w:sz w:val="21"/>
                <w:color w:val="auto"/>
              </w:rPr>
              <w:t>4 de 4</w:t>
            </w:r>
          </w:p>
        </w:tc>
        <w:tc>
          <w:tcPr>
            <w:tcW w:type="dxa" w:w="216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line="252" w:lineRule="auto"/>
            </w:pPr>
            <w:r>
              <w:rPr>
                <w:rFonts w:ascii="Arial" w:hAnsi="Arial" w:eastAsia="Arial" w:cs="Arial"/>
                <w:b w:val="0"/>
                <w:sz w:val="21"/>
                <w:color w:val="auto"/>
              </w:rPr>
              <w:t>Não avaliado</w:t>
            </w:r>
          </w:p>
        </w:tc>
      </w:tr>
      <w:tr>
        <w:trPr>
          <w:cantSplit/>
        </w:trPr>
        <w:tc>
          <w:tcPr>
            <w:tcW w:type="dxa" w:w="547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line="252" w:lineRule="auto"/>
            </w:pPr>
            <w:r>
              <w:rPr>
                <w:rFonts w:ascii="Arial" w:hAnsi="Arial" w:eastAsia="Arial" w:cs="Arial"/>
                <w:b w:val="0"/>
                <w:sz w:val="21"/>
                <w:color w:val="auto"/>
              </w:rPr>
              <w:t>Perguntas positivas com algum candidato acima de 0,40</w:t>
            </w:r>
          </w:p>
        </w:tc>
        <w:tc>
          <w:tcPr>
            <w:tcW w:type="dxa" w:w="216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line="252" w:lineRule="auto"/>
            </w:pPr>
            <w:r>
              <w:rPr>
                <w:rFonts w:ascii="Arial" w:hAnsi="Arial" w:eastAsia="Arial" w:cs="Arial"/>
                <w:b w:val="0"/>
                <w:sz w:val="21"/>
                <w:color w:val="auto"/>
              </w:rPr>
              <w:t>12 de 12</w:t>
            </w:r>
          </w:p>
        </w:tc>
        <w:tc>
          <w:tcPr>
            <w:tcW w:type="dxa" w:w="216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after="40" w:line="252" w:lineRule="auto"/>
            </w:pPr>
            <w:r>
              <w:rPr>
                <w:rFonts w:ascii="Arial" w:hAnsi="Arial" w:eastAsia="Arial" w:cs="Arial"/>
                <w:b w:val="0"/>
                <w:sz w:val="21"/>
                <w:color w:val="auto"/>
              </w:rPr>
              <w:t>Não se aplica</w:t>
            </w:r>
          </w:p>
        </w:tc>
      </w:tr>
    </w:tbl>
    <w:p>
      <w:pPr>
        <w:spacing w:after="0"/>
      </w:pPr>
    </w:p>
    <w:p>
      <w:r>
        <w:t>Os indicadores Top-1 e Top-3 foram calculados sobre os candidatos antes do corte por similaridade. Cada posição corresponde a um trecho; um mesmo documento pode ocupar mais de uma posição. O indicador Top-3 corresponde à presença de pelo menos um trecho do documento esperado entre os três candidatos.</w:t>
      </w:r>
    </w:p>
    <w:p>
      <w:pPr>
        <w:pStyle w:val="Heading2"/>
      </w:pPr>
      <w:r>
        <w:t>5.1 Erro observado</w:t>
      </w:r>
    </w:p>
    <w:p>
      <w:r>
        <w:t>Na pergunta “Como marco minhas férias com o chefe?”, o primeiro resultado foi PR010, sobre integração de novo colaborador, com cosseno 0,5901. O procedimento correto PR005 ficou em segundo lugar, com 0,5365. O baseline lexical acertou esse caso. A busca vetorial, portanto, não ordenou corretamente todas as consultas.</w:t>
      </w:r>
    </w:p>
    <w:p>
      <w:pPr>
        <w:pStyle w:val="Heading2"/>
      </w:pPr>
      <w:r>
        <w:t>5.2 Ajuste do limiar e limites da medição</w:t>
      </w:r>
    </w:p>
    <w:p>
      <w:r>
        <w:t>Com o limite inicial de 0,50, cinco perguntas positivas ficavam sem resultado. O limite foi ajustado para 0,40 e as 12 passaram a ter algum candidato aceito. As quatro perguntas fora do domínio continuaram abaixo do limite. A execução inicial permanece registrada em calibracao_limiar_050.json.</w:t>
      </w:r>
    </w:p>
    <w:p>
      <w:r>
        <w:t>O ajuste e a avaliação utilizaram o mesmo conjunto fictício. Os resultados são exploratórios, sem conjunto independente de validação. Eles não demonstram desempenho em produção nem 100% de respostas corretas. Uma implantação real exigiria novas perguntas, avaliação humana e calibração separada.</w:t>
      </w:r>
    </w:p>
    <w:p>
      <w:r>
        <w:t>Oito testes de integração passaram, incluindo consulta semântica, filtro, área inexistente, vetor e fonte, pergunta fora do domínio, reindexação, persistência e validação de entrada. O registro está em testes_integracao.txt.</w:t>
      </w:r>
    </w:p>
    <w:p>
      <w:pPr>
        <w:pStyle w:val="Heading1"/>
        <w:pageBreakBefore/>
      </w:pPr>
      <w:r>
        <w:t>6. Execução e apresentação prática</w:t>
      </w:r>
    </w:p>
    <w:p>
      <w:r>
        <w:t>No Windows, abrir o Docker Desktop com contêineres Linux e executar os comandos na pasta que contém compose.yaml. O projeto utiliza um único serviço de aplicação com Qdrant local e um volume persistente para o banco e o modelo.</w:t>
      </w:r>
    </w:p>
    <w:p>
      <w:pPr>
        <w:pStyle w:val="Heading2"/>
      </w:pPr>
      <w:r>
        <w:t>6.1 Preparação do ambiente</w:t>
      </w:r>
    </w:p>
    <w:p>
      <w:pPr>
        <w:spacing w:after="120"/>
        <w:ind w:left="173"/>
      </w:pPr>
      <w:r>
        <w:rPr>
          <w:rFonts w:ascii="Arial" w:hAnsi="Arial" w:eastAsia="Arial" w:cs="Arial"/>
          <w:sz w:val="21"/>
          <w:color w:val="auto"/>
        </w:rPr>
        <w:t>docker compose build</w:t>
      </w:r>
    </w:p>
    <w:p>
      <w:pPr>
        <w:spacing w:after="120"/>
        <w:ind w:left="173"/>
      </w:pPr>
      <w:r>
        <w:rPr>
          <w:rFonts w:ascii="Arial" w:hAnsi="Arial" w:eastAsia="Arial" w:cs="Arial"/>
          <w:sz w:val="21"/>
          <w:color w:val="auto"/>
        </w:rPr>
        <w:t>docker compose run --rm app demo</w:t>
      </w:r>
    </w:p>
    <w:p>
      <w:r>
        <w:t>A primeira execução baixa os pesos do modelo da Hugging Face, estimados pelo FastEmbed em cerca de 0,22 GB, além de arquivos auxiliares. É necessário acesso à internet nessa etapa. O cache e o banco são reutilizados nas execuções seguintes. Prepare o ambiente antes da aula.</w:t>
      </w:r>
    </w:p>
    <w:p>
      <w:pPr>
        <w:pStyle w:val="Heading2"/>
      </w:pPr>
      <w:r>
        <w:t>6.2 Consultas e evidências</w:t>
      </w:r>
    </w:p>
    <w:p>
      <w:pPr>
        <w:spacing w:after="120"/>
        <w:ind w:left="173"/>
      </w:pPr>
      <w:r>
        <w:rPr>
          <w:rFonts w:ascii="Arial" w:hAnsi="Arial" w:eastAsia="Arial" w:cs="Arial"/>
          <w:sz w:val="21"/>
          <w:color w:val="auto"/>
        </w:rPr>
        <w:t>docker compose run --rm app buscar "Esqueci minha senha"</w:t>
      </w:r>
    </w:p>
    <w:p>
      <w:pPr>
        <w:spacing w:after="120"/>
        <w:ind w:left="173"/>
      </w:pPr>
      <w:r>
        <w:rPr>
          <w:rFonts w:ascii="Arial" w:hAnsi="Arial" w:eastAsia="Arial" w:cs="Arial"/>
          <w:sz w:val="21"/>
          <w:color w:val="auto"/>
        </w:rPr>
        <w:t>docker compose run --rm app buscar "Qual é a receita de bolo de cenoura?"</w:t>
      </w:r>
    </w:p>
    <w:p>
      <w:pPr>
        <w:spacing w:after="120"/>
        <w:ind w:left="173"/>
      </w:pPr>
      <w:r>
        <w:rPr>
          <w:rFonts w:ascii="Arial" w:hAnsi="Arial" w:eastAsia="Arial" w:cs="Arial"/>
          <w:sz w:val="21"/>
          <w:color w:val="auto"/>
        </w:rPr>
        <w:t>docker compose run --rm app vetor</w:t>
      </w:r>
    </w:p>
    <w:p>
      <w:pPr>
        <w:spacing w:after="120"/>
        <w:ind w:left="173"/>
      </w:pPr>
      <w:r>
        <w:rPr>
          <w:rFonts w:ascii="Arial" w:hAnsi="Arial" w:eastAsia="Arial" w:cs="Arial"/>
          <w:sz w:val="21"/>
          <w:color w:val="auto"/>
        </w:rPr>
        <w:t>docker compose run --rm app avaliar</w:t>
      </w:r>
    </w:p>
    <w:p>
      <w:pPr>
        <w:spacing w:after="120"/>
        <w:ind w:left="173"/>
      </w:pPr>
      <w:r>
        <w:rPr>
          <w:rFonts w:ascii="Arial" w:hAnsi="Arial" w:eastAsia="Arial" w:cs="Arial"/>
          <w:sz w:val="21"/>
          <w:color w:val="auto"/>
        </w:rPr>
        <w:t>docker compose run --rm --entrypoint python app testes.py</w:t>
      </w:r>
    </w:p>
    <w:p>
      <w:r>
        <w:t>O comando vetor exporta um embedding real com suas 384 dimensões e metadados. O comando avaliar grava uma nova medição em evidencias/nova_avaliacao.json. Execute um comando por vez, pois o modo local usa bloqueio exclusivo do diretório do banco.</w:t>
      </w:r>
    </w:p>
    <w:p>
      <w:pPr>
        <w:pStyle w:val="Heading2"/>
      </w:pPr>
      <w:r>
        <w:t>6.3 Roteiro breve da demonstração</w:t>
      </w:r>
    </w:p>
    <w:p>
      <w:r>
        <w:t>Começar explicando a diferença de vocabulário entre “compra emergencial” e “aquisição urgente”. Executar demo e mostrar o procedimento recuperado, a fonte e a pontuação. Repetir a pesquisa com o filtro Compras para demonstrar o papel dos metadados.</w:t>
      </w:r>
    </w:p>
    <w:p>
      <w:r>
        <w:t>Em seguida, abrir o arquivo de vetor exportado para mostrar que o conteúdo foi convertido em uma representação numérica. Executar uma pergunta fora do domínio e mostrar a ausência de evidência suficiente. Finalizar com a avaliação e comentar o erro da pergunta sobre férias.</w:t>
      </w:r>
    </w:p>
    <w:p>
      <w:r>
        <w:t>A explicação central é que o banco recupera conteúdo por proximidade. O programa não gera decisões nem autoriza uma aquisição. Ele ajuda o funcionário a localizar e conferir a orientação correspondente.</w:t>
      </w:r>
    </w:p>
    <w:p>
      <w:pPr>
        <w:pStyle w:val="Heading2"/>
      </w:pPr>
      <w:r>
        <w:t>6.4 Situação da execução</w:t>
      </w:r>
    </w:p>
    <w:p>
      <w:r>
        <w:t>O fluxo Python, as consultas, a persistência e os testes foram executados no ambiente desta entrega. Docker não estava disponível nesse ambiente. O Dockerfile e o Compose estão preparados para reprodução, mas a execução dos contêineres precisa ser conferida na máquina da apresentação. O LEIA_PRIMEIRO.md também contém a alternativa de execução em Python 3.12.</w:t>
      </w:r>
    </w:p>
    <w:p>
      <w:pPr>
        <w:pStyle w:val="Heading1"/>
        <w:pageBreakBefore/>
      </w:pPr>
      <w:r>
        <w:t>7. Benefícios e limites da solução</w:t>
      </w:r>
    </w:p>
    <w:p>
      <w:r>
        <w:t>O benefício demonstrado é a recuperação de procedimentos com vocabulário diferente do utilizado nas perguntas. Nesta base, a busca vetorial recuperou mais documentos esperados que o baseline lexical simples. A conferência permanece possível porque os resultados preservam fonte, versão e seção.</w:t>
      </w:r>
    </w:p>
    <w:p>
      <w:r>
        <w:t>A redução do tempo gasto por funcionários é um benefício esperado, mas não foi medida com usuários. Também não foram avaliados custos operacionais, concorrência, grandes volumes, controle de acesso ou latência de produção. A base contém somente 12 documentos fictícios.</w:t>
      </w:r>
    </w:p>
    <w:p>
      <w:r>
        <w:t>A entrada implementada é JSON. Para consultar manuais reais em PDF ou DOCX, seria necessário extrair e revisar o texto antes de alimentar esse formato. O sistema não realiza OCR ou importação automática dos documentos enviados. Os anexos fundamentaram a escolha do problema e da arquitetura.</w:t>
      </w:r>
    </w:p>
    <w:p>
      <w:r>
        <w:t>Para uma implantação empresarial, seria necessário validar a relevância em perguntas reais, manter versões dos documentos, integrar autenticação e permissões, definir atualização e remoção de vetores e avaliar um servidor Qdrant. Busca híbrida ou reranking podem ser investigados para reduzir erros como o observado na pergunta sobre férias.</w:t>
      </w:r>
    </w:p>
    <w:p>
      <w:r>
        <w:t>O modo local atende à demonstração com persistência, mas não representa a configuração de um serviço corporativo concorrente. Coleções de versões anteriores permanecem no diretório de estado e exigiriam uma política de limpeza em uso continuado. O modelo e seus pesos também precisam permanecer consistentes para comparações reproduzíveis.</w:t>
      </w:r>
    </w:p>
    <w:p>
      <w:pPr>
        <w:pStyle w:val="Heading1"/>
      </w:pPr>
      <w:r>
        <w:t>8. Materiais e referências</w:t>
      </w:r>
    </w:p>
    <w:p>
      <w:r>
        <w:t>Materiais do grupo consultados</w:t>
      </w:r>
    </w:p>
    <w:p>
      <w:r>
        <w:t>BancoDeDadosVetoriais.docx. Seções 2 e 3 sobre fundamentos e arquitetura e seção 5.5 sobre consulta a documentos empresariais.</w:t>
      </w:r>
    </w:p>
    <w:p>
      <w:r>
        <w:t>Grupo_3_Bancos_de_Dados_Vetoriais_Apresentacao.pptx. Fundamentos, fluxo de funcionamento e exemplo empresarial no slide 10.</w:t>
      </w:r>
    </w:p>
    <w:p>
      <w:r>
        <w:t>Roteiro_Baseado_Apresentacao_16_Slides_Bancos_Vetoriais.docx. Apoio conceitual sobre recuperação e geração no exemplo de RAG.</w:t>
      </w:r>
    </w:p>
    <w:p>
      <w:r>
        <w:t>A apresentação fornecida contém 13 slides. O roteiro de apoio enumera 16. Para localizar a aplicação no PPTX atual, a referência adotada foi o título do exemplo empresarial, na posição 10.</w:t>
      </w:r>
    </w:p>
    <w:p>
      <w:r>
        <w:t>Referências técnicas consultadas em 19 de outubro de 2026</w:t>
      </w:r>
    </w:p>
    <w:p>
      <w:r>
        <w:rPr>
          <w:rFonts w:ascii="Arial" w:hAnsi="Arial" w:eastAsia="Arial" w:cs="Arial"/>
          <w:sz w:val="21"/>
          <w:color w:val="auto"/>
        </w:rPr>
        <w:t>Qdrant Client. Modo local persistente, inserção e query_points. https://github.com/qdrant/qdrant-client</w:t>
      </w:r>
    </w:p>
    <w:p>
      <w:r>
        <w:rPr>
          <w:rFonts w:ascii="Arial" w:hAnsi="Arial" w:eastAsia="Arial" w:cs="Arial"/>
          <w:sz w:val="21"/>
          <w:color w:val="auto"/>
        </w:rPr>
        <w:t>FastEmbed. Supported Models. Modelo multilíngue com 384 dimensões. https://qdrant.github.io/fastembed/examples/Supported_Models/</w:t>
      </w:r>
    </w:p>
    <w:p>
      <w:r>
        <w:rPr>
          <w:rFonts w:ascii="Arial" w:hAnsi="Arial" w:eastAsia="Arial" w:cs="Arial"/>
          <w:sz w:val="21"/>
          <w:color w:val="auto"/>
        </w:rPr>
        <w:t>Qdrant. Local Quickstart. https://qdrant.tech/documentation/quickstart/</w:t>
      </w:r>
    </w:p>
    <w:sectPr w:rsidR="00FC693F" w:rsidRPr="0006063C" w:rsidSect="00034616">
      <w:pgSz w:w="12240" w:h="15840"/>
      <w:pgMar w:top="1051" w:right="1224" w:bottom="1051"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eastAsia="Arial" w:cs="Arial"/>
      <w:sz w:val="22"/>
      <w:color w:val="auto"/>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sz w:val="22"/>
      <w:color w:val="auto"/>
    </w:rPr>
  </w:style>
  <w:style w:type="character" w:customStyle="1" w:styleId="HeaderChar">
    <w:name w:val="Header Char"/>
    <w:basedOn w:val="DefaultParagraphFont"/>
    <w:link w:val="Header"/>
    <w:uiPriority w:val="99"/>
    <w:rsid w:val="00E618BF"/>
    <w:rPr>
      <w:rFonts w:ascii="Arial" w:hAnsi="Arial" w:eastAsia="Arial" w:cs="Arial"/>
      <w:sz w:val="22"/>
      <w:color w:val="auto"/>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sz w:val="22"/>
      <w:color w:val="auto"/>
    </w:rPr>
  </w:style>
  <w:style w:type="character" w:customStyle="1" w:styleId="FooterChar">
    <w:name w:val="Footer Char"/>
    <w:basedOn w:val="DefaultParagraphFont"/>
    <w:link w:val="Footer"/>
    <w:uiPriority w:val="99"/>
    <w:rsid w:val="00E618BF"/>
    <w:rPr>
      <w:rFonts w:ascii="Arial" w:hAnsi="Arial" w:eastAsia="Arial" w:cs="Arial"/>
      <w:sz w:val="22"/>
      <w:color w:val="auto"/>
    </w:rPr>
  </w:style>
  <w:style w:type="paragraph" w:styleId="Heading1">
    <w:name w:val="heading 1"/>
    <w:basedOn w:val="Normal"/>
    <w:next w:val="Normal"/>
    <w:link w:val="Heading1Char"/>
    <w:uiPriority w:val="9"/>
    <w:qFormat/>
    <w:rsid w:val="00FC693F"/>
    <w:pPr>
      <w:keepNext/>
      <w:keepLines/>
      <w:spacing w:before="240" w:after="140"/>
      <w:outlineLvl w:val="0"/>
    </w:pPr>
    <w:rPr>
      <w:rFonts w:ascii="Arial" w:hAnsi="Arial" w:eastAsia="Arial" w:cs="Arial"/>
      <w:b/>
      <w:bCs/>
      <w:sz w:val="30"/>
      <w:szCs w:val="28"/>
      <w:color w:val="auto"/>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Arial" w:hAnsi="Arial" w:eastAsia="Arial" w:cs="Arial"/>
      <w:b/>
      <w:bCs/>
      <w:sz w:val="24"/>
      <w:szCs w:val="26"/>
      <w:color w:val="auto"/>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bCs/>
      <w:sz w:val="22"/>
      <w:color w:val="aut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sz w:val="22"/>
      <w:color w:val="auto"/>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sz w:val="22"/>
      <w:color w:val="auto"/>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sz w:val="22"/>
      <w:color w:val="auto"/>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sz w:val="22"/>
      <w:color w:val="auto"/>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sz w:val="22"/>
      <w:szCs w:val="20"/>
      <w:color w:val="auto"/>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sz w:val="22"/>
      <w:szCs w:val="20"/>
      <w:color w:val="auto"/>
    </w:rPr>
  </w:style>
  <w:style w:type="character" w:default="1" w:styleId="DefaultParagraphFont">
    <w:name w:val="Default Paragraph Font"/>
    <w:uiPriority w:val="1"/>
    <w:semiHidden/>
    <w:unhideWhenUsed/>
    <w:rPr>
      <w:rFonts w:ascii="Arial" w:hAnsi="Arial" w:eastAsia="Arial" w:cs="Arial"/>
      <w:sz w:val="22"/>
      <w:color w:val="auto"/>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sz w:val="22"/>
      <w:color w:val="auto"/>
    </w:rPr>
  </w:style>
  <w:style w:type="character" w:customStyle="1" w:styleId="Heading1Char">
    <w:name w:val="Heading 1 Char"/>
    <w:basedOn w:val="DefaultParagraphFont"/>
    <w:link w:val="Heading1"/>
    <w:uiPriority w:val="9"/>
    <w:rsid w:val="00FC693F"/>
    <w:rPr>
      <w:rFonts w:ascii="Arial" w:hAnsi="Arial" w:eastAsia="Arial" w:cs="Arial"/>
      <w:b/>
      <w:bCs/>
      <w:sz w:val="22"/>
      <w:szCs w:val="28"/>
      <w:color w:val="auto"/>
    </w:rPr>
  </w:style>
  <w:style w:type="character" w:customStyle="1" w:styleId="Heading2Char">
    <w:name w:val="Heading 2 Char"/>
    <w:basedOn w:val="DefaultParagraphFont"/>
    <w:link w:val="Heading2"/>
    <w:uiPriority w:val="9"/>
    <w:rsid w:val="00FC693F"/>
    <w:rPr>
      <w:rFonts w:ascii="Arial" w:hAnsi="Arial" w:eastAsia="Arial" w:cs="Arial"/>
      <w:b/>
      <w:bCs/>
      <w:sz w:val="22"/>
      <w:szCs w:val="26"/>
      <w:color w:val="auto"/>
    </w:rPr>
  </w:style>
  <w:style w:type="character" w:customStyle="1" w:styleId="Heading3Char">
    <w:name w:val="Heading 3 Char"/>
    <w:basedOn w:val="DefaultParagraphFont"/>
    <w:link w:val="Heading3"/>
    <w:uiPriority w:val="9"/>
    <w:rsid w:val="00FC693F"/>
    <w:rPr>
      <w:rFonts w:ascii="Arial" w:hAnsi="Arial" w:eastAsia="Arial" w:cs="Arial"/>
      <w:b/>
      <w:bCs/>
      <w:sz w:val="22"/>
      <w:color w:val="auto"/>
    </w:rPr>
  </w:style>
  <w:style w:type="paragraph" w:styleId="Title">
    <w:name w:val="Title"/>
    <w:basedOn w:val="Normal"/>
    <w:next w:val="Normal"/>
    <w:link w:val="TitleChar"/>
    <w:uiPriority w:val="10"/>
    <w:qFormat/>
    <w:rsid w:val="00FC693F"/>
    <w:pPr>
      <w:keepNext/>
      <w:spacing w:after="140" w:line="240" w:lineRule="auto" w:before="0"/>
      <w:contextualSpacing/>
    </w:pPr>
    <w:rPr>
      <w:rFonts w:ascii="Arial" w:hAnsi="Arial" w:eastAsia="Arial" w:cs="Arial"/>
      <w:spacing w:val="5"/>
      <w:kern w:val="28"/>
      <w:sz w:val="46"/>
      <w:szCs w:val="52"/>
      <w:b/>
      <w:color w:val="auto"/>
    </w:rPr>
  </w:style>
  <w:style w:type="character" w:customStyle="1" w:styleId="TitleChar">
    <w:name w:val="Title Char"/>
    <w:basedOn w:val="DefaultParagraphFont"/>
    <w:link w:val="Title"/>
    <w:uiPriority w:val="10"/>
    <w:rsid w:val="00FC693F"/>
    <w:rPr>
      <w:rFonts w:ascii="Arial" w:hAnsi="Arial" w:eastAsia="Arial" w:cs="Arial"/>
      <w:spacing w:val="5"/>
      <w:kern w:val="28"/>
      <w:sz w:val="22"/>
      <w:szCs w:val="52"/>
      <w:color w:val="auto"/>
    </w:rPr>
  </w:style>
  <w:style w:type="paragraph" w:styleId="Subtitle">
    <w:name w:val="Subtitle"/>
    <w:basedOn w:val="Normal"/>
    <w:next w:val="Normal"/>
    <w:link w:val="SubtitleChar"/>
    <w:uiPriority w:val="11"/>
    <w:qFormat/>
    <w:rsid w:val="00FC693F"/>
    <w:pPr>
      <w:keepNext/>
      <w:numPr>
        <w:ilvl w:val="1"/>
      </w:numPr>
      <w:spacing w:before="0" w:after="140"/>
    </w:pPr>
    <w:rPr>
      <w:rFonts w:ascii="Arial" w:hAnsi="Arial" w:eastAsia="Arial" w:cs="Arial"/>
      <w:b w:val="0"/>
      <w:i/>
      <w:iCs/>
      <w:spacing w:val="15"/>
      <w:sz w:val="24"/>
      <w:szCs w:val="24"/>
      <w:color w:val="auto"/>
    </w:rPr>
  </w:style>
  <w:style w:type="character" w:customStyle="1" w:styleId="SubtitleChar">
    <w:name w:val="Subtitle Char"/>
    <w:basedOn w:val="DefaultParagraphFont"/>
    <w:link w:val="Subtitle"/>
    <w:uiPriority w:val="11"/>
    <w:rsid w:val="00FC693F"/>
    <w:rPr>
      <w:rFonts w:ascii="Arial" w:hAnsi="Arial" w:eastAsia="Arial" w:cs="Arial"/>
      <w:i/>
      <w:iCs/>
      <w:spacing w:val="15"/>
      <w:sz w:val="22"/>
      <w:szCs w:val="24"/>
      <w:color w:val="auto"/>
    </w:rPr>
  </w:style>
  <w:style w:type="paragraph" w:styleId="ListParagraph">
    <w:name w:val="List Paragraph"/>
    <w:basedOn w:val="Normal"/>
    <w:uiPriority w:val="34"/>
    <w:qFormat/>
    <w:rsid w:val="00FC693F"/>
    <w:pPr>
      <w:ind w:left="720"/>
      <w:contextualSpacing/>
    </w:pPr>
    <w:rPr>
      <w:rFonts w:ascii="Arial" w:hAnsi="Arial" w:eastAsia="Arial" w:cs="Arial"/>
      <w:sz w:val="22"/>
      <w:color w:val="auto"/>
    </w:rPr>
  </w:style>
  <w:style w:type="paragraph" w:styleId="BodyText">
    <w:name w:val="Body Text"/>
    <w:basedOn w:val="Normal"/>
    <w:link w:val="BodyTextChar"/>
    <w:uiPriority w:val="99"/>
    <w:unhideWhenUsed/>
    <w:rsid w:val="00AA1D8D"/>
    <w:pPr>
      <w:spacing w:after="120"/>
    </w:pPr>
    <w:rPr>
      <w:rFonts w:ascii="Arial" w:hAnsi="Arial" w:eastAsia="Arial" w:cs="Arial"/>
      <w:sz w:val="22"/>
      <w:color w:val="auto"/>
    </w:rPr>
  </w:style>
  <w:style w:type="character" w:customStyle="1" w:styleId="BodyTextChar">
    <w:name w:val="Body Text Char"/>
    <w:basedOn w:val="DefaultParagraphFont"/>
    <w:link w:val="BodyText"/>
    <w:uiPriority w:val="99"/>
    <w:rsid w:val="00AA1D8D"/>
    <w:rPr>
      <w:rFonts w:ascii="Arial" w:hAnsi="Arial" w:eastAsia="Arial" w:cs="Arial"/>
      <w:sz w:val="22"/>
      <w:color w:val="auto"/>
    </w:rPr>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sz w:val="22"/>
      <w:color w:val="auto"/>
    </w:rPr>
  </w:style>
  <w:style w:type="character" w:customStyle="1" w:styleId="BodyText2Char">
    <w:name w:val="Body Text 2 Char"/>
    <w:basedOn w:val="DefaultParagraphFont"/>
    <w:link w:val="BodyText2"/>
    <w:uiPriority w:val="99"/>
    <w:rsid w:val="00AA1D8D"/>
    <w:rPr>
      <w:rFonts w:ascii="Arial" w:hAnsi="Arial" w:eastAsia="Arial" w:cs="Arial"/>
      <w:sz w:val="22"/>
      <w:color w:val="auto"/>
    </w:rPr>
  </w:style>
  <w:style w:type="paragraph" w:styleId="BodyText3">
    <w:name w:val="Body Text 3"/>
    <w:basedOn w:val="Normal"/>
    <w:link w:val="BodyText3Char"/>
    <w:uiPriority w:val="99"/>
    <w:unhideWhenUsed/>
    <w:rsid w:val="00AA1D8D"/>
    <w:pPr>
      <w:spacing w:after="120"/>
    </w:pPr>
    <w:rPr>
      <w:rFonts w:ascii="Arial" w:hAnsi="Arial" w:eastAsia="Arial" w:cs="Arial"/>
      <w:sz w:val="22"/>
      <w:szCs w:val="16"/>
      <w:color w:val="auto"/>
    </w:rPr>
  </w:style>
  <w:style w:type="character" w:customStyle="1" w:styleId="BodyText3Char">
    <w:name w:val="Body Text 3 Char"/>
    <w:basedOn w:val="DefaultParagraphFont"/>
    <w:link w:val="BodyText3"/>
    <w:uiPriority w:val="99"/>
    <w:rsid w:val="00AA1D8D"/>
    <w:rPr>
      <w:rFonts w:ascii="Arial" w:hAnsi="Arial" w:eastAsia="Arial" w:cs="Arial"/>
      <w:sz w:val="22"/>
      <w:szCs w:val="16"/>
      <w:color w:val="auto"/>
    </w:rPr>
  </w:style>
  <w:style w:type="paragraph" w:styleId="List">
    <w:name w:val="List"/>
    <w:basedOn w:val="Normal"/>
    <w:uiPriority w:val="99"/>
    <w:unhideWhenUsed/>
    <w:rsid w:val="00AA1D8D"/>
    <w:pPr>
      <w:ind w:left="360" w:hanging="360"/>
      <w:contextualSpacing/>
    </w:pPr>
    <w:rPr>
      <w:rFonts w:ascii="Arial" w:hAnsi="Arial" w:eastAsia="Arial" w:cs="Arial"/>
      <w:sz w:val="22"/>
      <w:color w:val="auto"/>
    </w:rPr>
  </w:style>
  <w:style w:type="paragraph" w:styleId="List2">
    <w:name w:val="List 2"/>
    <w:basedOn w:val="Normal"/>
    <w:uiPriority w:val="99"/>
    <w:unhideWhenUsed/>
    <w:rsid w:val="00326F90"/>
    <w:pPr>
      <w:ind w:left="720" w:hanging="360"/>
      <w:contextualSpacing/>
    </w:pPr>
    <w:rPr>
      <w:rFonts w:ascii="Arial" w:hAnsi="Arial" w:eastAsia="Arial" w:cs="Arial"/>
      <w:sz w:val="22"/>
      <w:color w:val="auto"/>
    </w:rPr>
  </w:style>
  <w:style w:type="paragraph" w:styleId="List3">
    <w:name w:val="List 3"/>
    <w:basedOn w:val="Normal"/>
    <w:uiPriority w:val="99"/>
    <w:unhideWhenUsed/>
    <w:rsid w:val="00326F90"/>
    <w:pPr>
      <w:ind w:left="1080" w:hanging="360"/>
      <w:contextualSpacing/>
    </w:pPr>
    <w:rPr>
      <w:rFonts w:ascii="Arial" w:hAnsi="Arial" w:eastAsia="Arial" w:cs="Arial"/>
      <w:sz w:val="22"/>
      <w:color w:val="auto"/>
    </w:rPr>
  </w:style>
  <w:style w:type="paragraph" w:styleId="ListBullet">
    <w:name w:val="List Bullet"/>
    <w:basedOn w:val="Normal"/>
    <w:uiPriority w:val="99"/>
    <w:unhideWhenUsed/>
    <w:rsid w:val="00326F90"/>
    <w:pPr>
      <w:numPr>
        <w:numId w:val="1"/>
      </w:numPr>
      <w:contextualSpacing/>
    </w:pPr>
    <w:rPr>
      <w:rFonts w:ascii="Arial" w:hAnsi="Arial" w:eastAsia="Arial" w:cs="Arial"/>
      <w:sz w:val="22"/>
      <w:color w:val="auto"/>
    </w:rPr>
  </w:style>
  <w:style w:type="paragraph" w:styleId="ListBullet2">
    <w:name w:val="List Bullet 2"/>
    <w:basedOn w:val="Normal"/>
    <w:uiPriority w:val="99"/>
    <w:unhideWhenUsed/>
    <w:rsid w:val="00326F90"/>
    <w:pPr>
      <w:numPr>
        <w:numId w:val="2"/>
      </w:numPr>
      <w:contextualSpacing/>
    </w:pPr>
    <w:rPr>
      <w:rFonts w:ascii="Arial" w:hAnsi="Arial" w:eastAsia="Arial" w:cs="Arial"/>
      <w:sz w:val="22"/>
      <w:color w:val="auto"/>
    </w:rPr>
  </w:style>
  <w:style w:type="paragraph" w:styleId="ListBullet3">
    <w:name w:val="List Bullet 3"/>
    <w:basedOn w:val="Normal"/>
    <w:uiPriority w:val="99"/>
    <w:unhideWhenUsed/>
    <w:rsid w:val="00326F90"/>
    <w:pPr>
      <w:numPr>
        <w:numId w:val="3"/>
      </w:numPr>
      <w:contextualSpacing/>
    </w:pPr>
    <w:rPr>
      <w:rFonts w:ascii="Arial" w:hAnsi="Arial" w:eastAsia="Arial" w:cs="Arial"/>
      <w:sz w:val="22"/>
      <w:color w:val="auto"/>
    </w:rPr>
  </w:style>
  <w:style w:type="paragraph" w:styleId="ListNumber">
    <w:name w:val="List Number"/>
    <w:basedOn w:val="Normal"/>
    <w:uiPriority w:val="99"/>
    <w:unhideWhenUsed/>
    <w:rsid w:val="00326F90"/>
    <w:pPr>
      <w:numPr>
        <w:numId w:val="5"/>
      </w:numPr>
      <w:contextualSpacing/>
    </w:pPr>
    <w:rPr>
      <w:rFonts w:ascii="Arial" w:hAnsi="Arial" w:eastAsia="Arial" w:cs="Arial"/>
      <w:sz w:val="22"/>
      <w:color w:val="auto"/>
    </w:rPr>
  </w:style>
  <w:style w:type="paragraph" w:styleId="ListNumber2">
    <w:name w:val="List Number 2"/>
    <w:basedOn w:val="Normal"/>
    <w:uiPriority w:val="99"/>
    <w:unhideWhenUsed/>
    <w:rsid w:val="0029639D"/>
    <w:pPr>
      <w:numPr>
        <w:numId w:val="6"/>
      </w:numPr>
      <w:contextualSpacing/>
    </w:pPr>
    <w:rPr>
      <w:rFonts w:ascii="Arial" w:hAnsi="Arial" w:eastAsia="Arial" w:cs="Arial"/>
      <w:sz w:val="22"/>
      <w:color w:val="auto"/>
    </w:rPr>
  </w:style>
  <w:style w:type="paragraph" w:styleId="ListNumber3">
    <w:name w:val="List Number 3"/>
    <w:basedOn w:val="Normal"/>
    <w:uiPriority w:val="99"/>
    <w:unhideWhenUsed/>
    <w:rsid w:val="0029639D"/>
    <w:pPr>
      <w:numPr>
        <w:numId w:val="7"/>
      </w:numPr>
      <w:contextualSpacing/>
    </w:pPr>
    <w:rPr>
      <w:rFonts w:ascii="Arial" w:hAnsi="Arial" w:eastAsia="Arial" w:cs="Arial"/>
      <w:sz w:val="22"/>
      <w:color w:val="auto"/>
    </w:rPr>
  </w:style>
  <w:style w:type="paragraph" w:styleId="ListContinue">
    <w:name w:val="List Continue"/>
    <w:basedOn w:val="Normal"/>
    <w:uiPriority w:val="99"/>
    <w:unhideWhenUsed/>
    <w:rsid w:val="0029639D"/>
    <w:pPr>
      <w:spacing w:after="120"/>
      <w:ind w:left="360"/>
      <w:contextualSpacing/>
    </w:pPr>
    <w:rPr>
      <w:rFonts w:ascii="Arial" w:hAnsi="Arial" w:eastAsia="Arial" w:cs="Arial"/>
      <w:sz w:val="22"/>
      <w:color w:val="auto"/>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sz w:val="22"/>
      <w:color w:val="auto"/>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sz w:val="22"/>
      <w:color w:val="auto"/>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2"/>
      <w:szCs w:val="20"/>
      <w:color w:val="auto"/>
    </w:rPr>
  </w:style>
  <w:style w:type="character" w:customStyle="1" w:styleId="MacroTextChar">
    <w:name w:val="Macro Text Char"/>
    <w:basedOn w:val="DefaultParagraphFont"/>
    <w:link w:val="MacroText"/>
    <w:uiPriority w:val="99"/>
    <w:rsid w:val="0029639D"/>
    <w:rPr>
      <w:rFonts w:ascii="Arial" w:hAnsi="Arial" w:eastAsia="Arial" w:cs="Arial"/>
      <w:sz w:val="22"/>
      <w:szCs w:val="20"/>
      <w:color w:val="auto"/>
    </w:rPr>
  </w:style>
  <w:style w:type="paragraph" w:styleId="Quote">
    <w:name w:val="Quote"/>
    <w:basedOn w:val="Normal"/>
    <w:next w:val="Normal"/>
    <w:link w:val="QuoteChar"/>
    <w:uiPriority w:val="29"/>
    <w:qFormat/>
    <w:rsid w:val="00FC693F"/>
    <w:rPr>
      <w:rFonts w:ascii="Arial" w:hAnsi="Arial" w:eastAsia="Arial" w:cs="Arial"/>
      <w:i/>
      <w:iCs/>
      <w:sz w:val="22"/>
      <w:color w:val="auto"/>
    </w:rPr>
  </w:style>
  <w:style w:type="character" w:customStyle="1" w:styleId="QuoteChar">
    <w:name w:val="Quote Char"/>
    <w:basedOn w:val="DefaultParagraphFont"/>
    <w:link w:val="Quote"/>
    <w:uiPriority w:val="29"/>
    <w:rsid w:val="00FC693F"/>
    <w:rPr>
      <w:rFonts w:ascii="Arial" w:hAnsi="Arial" w:eastAsia="Arial" w:cs="Arial"/>
      <w:i/>
      <w:iCs/>
      <w:sz w:val="22"/>
      <w:color w:val="auto"/>
    </w:rPr>
  </w:style>
  <w:style w:type="character" w:customStyle="1" w:styleId="Heading4Char">
    <w:name w:val="Heading 4 Char"/>
    <w:basedOn w:val="DefaultParagraphFont"/>
    <w:link w:val="Heading4"/>
    <w:uiPriority w:val="9"/>
    <w:semiHidden/>
    <w:rsid w:val="00FC693F"/>
    <w:rPr>
      <w:rFonts w:ascii="Arial" w:hAnsi="Arial" w:eastAsia="Arial" w:cs="Arial"/>
      <w:b/>
      <w:bCs/>
      <w:i/>
      <w:iCs/>
      <w:sz w:val="22"/>
      <w:color w:val="auto"/>
    </w:rPr>
  </w:style>
  <w:style w:type="character" w:customStyle="1" w:styleId="Heading5Char">
    <w:name w:val="Heading 5 Char"/>
    <w:basedOn w:val="DefaultParagraphFont"/>
    <w:link w:val="Heading5"/>
    <w:uiPriority w:val="9"/>
    <w:semiHidden/>
    <w:rsid w:val="00FC693F"/>
    <w:rPr>
      <w:rFonts w:ascii="Arial" w:hAnsi="Arial" w:eastAsia="Arial" w:cs="Arial"/>
      <w:sz w:val="22"/>
      <w:color w:val="auto"/>
    </w:rPr>
  </w:style>
  <w:style w:type="character" w:customStyle="1" w:styleId="Heading6Char">
    <w:name w:val="Heading 6 Char"/>
    <w:basedOn w:val="DefaultParagraphFont"/>
    <w:link w:val="Heading6"/>
    <w:uiPriority w:val="9"/>
    <w:semiHidden/>
    <w:rsid w:val="00FC693F"/>
    <w:rPr>
      <w:rFonts w:ascii="Arial" w:hAnsi="Arial" w:eastAsia="Arial" w:cs="Arial"/>
      <w:i/>
      <w:iCs/>
      <w:sz w:val="22"/>
      <w:color w:val="auto"/>
    </w:rPr>
  </w:style>
  <w:style w:type="character" w:customStyle="1" w:styleId="Heading7Char">
    <w:name w:val="Heading 7 Char"/>
    <w:basedOn w:val="DefaultParagraphFont"/>
    <w:link w:val="Heading7"/>
    <w:uiPriority w:val="9"/>
    <w:semiHidden/>
    <w:rsid w:val="00FC693F"/>
    <w:rPr>
      <w:rFonts w:ascii="Arial" w:hAnsi="Arial" w:eastAsia="Arial" w:cs="Arial"/>
      <w:i/>
      <w:iCs/>
      <w:sz w:val="22"/>
      <w:color w:val="auto"/>
    </w:rPr>
  </w:style>
  <w:style w:type="character" w:customStyle="1" w:styleId="Heading8Char">
    <w:name w:val="Heading 8 Char"/>
    <w:basedOn w:val="DefaultParagraphFont"/>
    <w:link w:val="Heading8"/>
    <w:uiPriority w:val="9"/>
    <w:semiHidden/>
    <w:rsid w:val="00FC693F"/>
    <w:rPr>
      <w:rFonts w:ascii="Arial" w:hAnsi="Arial" w:eastAsia="Arial" w:cs="Arial"/>
      <w:sz w:val="22"/>
      <w:szCs w:val="20"/>
      <w:color w:val="auto"/>
    </w:rPr>
  </w:style>
  <w:style w:type="character" w:customStyle="1" w:styleId="Heading9Char">
    <w:name w:val="Heading 9 Char"/>
    <w:basedOn w:val="DefaultParagraphFont"/>
    <w:link w:val="Heading9"/>
    <w:uiPriority w:val="9"/>
    <w:semiHidden/>
    <w:rsid w:val="00FC693F"/>
    <w:rPr>
      <w:rFonts w:ascii="Arial" w:hAnsi="Arial" w:eastAsia="Arial" w:cs="Arial"/>
      <w:i/>
      <w:iCs/>
      <w:sz w:val="22"/>
      <w:szCs w:val="20"/>
      <w:color w:val="auto"/>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bCs/>
      <w:sz w:val="22"/>
      <w:szCs w:val="18"/>
      <w:color w:val="auto"/>
    </w:rPr>
  </w:style>
  <w:style w:type="character" w:styleId="Strong">
    <w:name w:val="Strong"/>
    <w:basedOn w:val="DefaultParagraphFont"/>
    <w:uiPriority w:val="22"/>
    <w:qFormat/>
    <w:rsid w:val="00FC693F"/>
    <w:rPr>
      <w:rFonts w:ascii="Arial" w:hAnsi="Arial" w:eastAsia="Arial" w:cs="Arial"/>
      <w:b/>
      <w:bCs/>
      <w:sz w:val="22"/>
      <w:color w:val="auto"/>
    </w:rPr>
  </w:style>
  <w:style w:type="character" w:styleId="Emphasis">
    <w:name w:val="Emphasis"/>
    <w:basedOn w:val="DefaultParagraphFont"/>
    <w:uiPriority w:val="20"/>
    <w:qFormat/>
    <w:rsid w:val="00FC693F"/>
    <w:rPr>
      <w:rFonts w:ascii="Arial" w:hAnsi="Arial" w:eastAsia="Arial" w:cs="Arial"/>
      <w:i/>
      <w:iCs/>
      <w:sz w:val="22"/>
      <w:color w:val="auto"/>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eastAsia="Arial" w:cs="Arial"/>
      <w:b/>
      <w:bCs/>
      <w:i/>
      <w:iCs/>
      <w:sz w:val="22"/>
      <w:color w:val="auto"/>
    </w:rPr>
  </w:style>
  <w:style w:type="character" w:customStyle="1" w:styleId="IntenseQuoteChar">
    <w:name w:val="Intense Quote Char"/>
    <w:basedOn w:val="DefaultParagraphFont"/>
    <w:link w:val="IntenseQuote"/>
    <w:uiPriority w:val="30"/>
    <w:rsid w:val="00FC693F"/>
    <w:rPr>
      <w:rFonts w:ascii="Arial" w:hAnsi="Arial" w:eastAsia="Arial" w:cs="Arial"/>
      <w:b/>
      <w:bCs/>
      <w:i/>
      <w:iCs/>
      <w:sz w:val="22"/>
      <w:color w:val="auto"/>
    </w:rPr>
  </w:style>
  <w:style w:type="character" w:styleId="SubtleEmphasis">
    <w:name w:val="Subtle Emphasis"/>
    <w:basedOn w:val="DefaultParagraphFont"/>
    <w:uiPriority w:val="19"/>
    <w:qFormat/>
    <w:rsid w:val="00FC693F"/>
    <w:rPr>
      <w:rFonts w:ascii="Arial" w:hAnsi="Arial" w:eastAsia="Arial" w:cs="Arial"/>
      <w:i/>
      <w:iCs/>
      <w:sz w:val="22"/>
      <w:color w:val="auto"/>
    </w:rPr>
  </w:style>
  <w:style w:type="character" w:styleId="IntenseEmphasis">
    <w:name w:val="Intense Emphasis"/>
    <w:basedOn w:val="DefaultParagraphFont"/>
    <w:uiPriority w:val="21"/>
    <w:qFormat/>
    <w:rsid w:val="00FC693F"/>
    <w:rPr>
      <w:rFonts w:ascii="Arial" w:hAnsi="Arial" w:eastAsia="Arial" w:cs="Arial"/>
      <w:b/>
      <w:bCs/>
      <w:i/>
      <w:iCs/>
      <w:sz w:val="22"/>
      <w:color w:val="auto"/>
    </w:rPr>
  </w:style>
  <w:style w:type="character" w:styleId="SubtleReference">
    <w:name w:val="Subtle Reference"/>
    <w:basedOn w:val="DefaultParagraphFont"/>
    <w:uiPriority w:val="31"/>
    <w:qFormat/>
    <w:rsid w:val="00FC693F"/>
    <w:rPr>
      <w:rFonts w:ascii="Arial" w:hAnsi="Arial" w:eastAsia="Arial" w:cs="Arial"/>
      <w:smallCaps/>
      <w:sz w:val="22"/>
      <w:u w:val="single"/>
      <w:color w:val="auto"/>
    </w:rPr>
  </w:style>
  <w:style w:type="character" w:styleId="IntenseReference">
    <w:name w:val="Intense Reference"/>
    <w:basedOn w:val="DefaultParagraphFont"/>
    <w:uiPriority w:val="32"/>
    <w:qFormat/>
    <w:rsid w:val="00FC693F"/>
    <w:rPr>
      <w:rFonts w:ascii="Arial" w:hAnsi="Arial" w:eastAsia="Arial" w:cs="Arial"/>
      <w:b/>
      <w:bCs/>
      <w:smallCaps/>
      <w:spacing w:val="5"/>
      <w:sz w:val="22"/>
      <w:u w:val="single"/>
      <w:color w:val="auto"/>
    </w:rPr>
  </w:style>
  <w:style w:type="character" w:styleId="BookTitle">
    <w:name w:val="Book Title"/>
    <w:basedOn w:val="DefaultParagraphFont"/>
    <w:uiPriority w:val="33"/>
    <w:qFormat/>
    <w:rsid w:val="00FC693F"/>
    <w:rPr>
      <w:rFonts w:ascii="Arial" w:hAnsi="Arial" w:eastAsia="Arial" w:cs="Arial"/>
      <w:b/>
      <w:bCs/>
      <w:smallCaps/>
      <w:spacing w:val="5"/>
      <w:sz w:val="22"/>
      <w:color w:val="auto"/>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sz w:val="22"/>
      <w:color w:val="auto"/>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auto"/>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uto"/>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auto"/>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auto"/>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auto"/>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auto"/>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auto"/>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auto"/>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auto"/>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auto"/>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auto"/>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auto"/>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auto"/>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auto"/>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eastAsia="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eastAsia="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eastAsia="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eastAsia="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eastAsia="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eastAsia="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eastAsia="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auto"/>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auto"/>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auto"/>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auto"/>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auto"/>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auto"/>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auto"/>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auto"/>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auto"/>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auto"/>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auto"/>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auto"/>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auto"/>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auto"/>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auto"/>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auto"/>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auto"/>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auto"/>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auto"/>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auto"/>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auto"/>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auto"/>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auto"/>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auto"/>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auto"/>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auto"/>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auto"/>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auto"/>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auto"/>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auto"/>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auto"/>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auto"/>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auto"/>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auto"/>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auto"/>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auto"/>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000000" w:themeColor="text1"/>
        </w:tcBorders>
      </w:tcPr>
    </w:tblStylePr>
    <w:tblStylePr w:type="lastRow">
      <w:rPr>
        <w:b/>
        <w:bCs/>
        <w:color w:val="auto"/>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auto"/>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F81BD" w:themeColor="accent1"/>
        </w:tcBorders>
      </w:tcPr>
    </w:tblStylePr>
    <w:tblStylePr w:type="lastRow">
      <w:rPr>
        <w:b/>
        <w:bCs/>
        <w:color w:val="auto"/>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auto"/>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C0504D" w:themeColor="accent2"/>
        </w:tcBorders>
      </w:tcPr>
    </w:tblStylePr>
    <w:tblStylePr w:type="lastRow">
      <w:rPr>
        <w:b/>
        <w:bCs/>
        <w:color w:val="auto"/>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auto"/>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9BBB59" w:themeColor="accent3"/>
        </w:tcBorders>
      </w:tcPr>
    </w:tblStylePr>
    <w:tblStylePr w:type="lastRow">
      <w:rPr>
        <w:b/>
        <w:bCs/>
        <w:color w:val="auto"/>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auto"/>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8064A2" w:themeColor="accent4"/>
        </w:tcBorders>
      </w:tcPr>
    </w:tblStylePr>
    <w:tblStylePr w:type="lastRow">
      <w:rPr>
        <w:b/>
        <w:bCs/>
        <w:color w:val="auto"/>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auto"/>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BACC6" w:themeColor="accent5"/>
        </w:tcBorders>
      </w:tcPr>
    </w:tblStylePr>
    <w:tblStylePr w:type="lastRow">
      <w:rPr>
        <w:b/>
        <w:bCs/>
        <w:color w:val="auto"/>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auto"/>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F79646" w:themeColor="accent6"/>
        </w:tcBorders>
      </w:tcPr>
    </w:tblStylePr>
    <w:tblStylePr w:type="lastRow">
      <w:rPr>
        <w:b/>
        <w:bCs/>
        <w:color w:val="auto"/>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color w:val="auto"/>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auto"/>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auto"/>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auto"/>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auto"/>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auto"/>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auto"/>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color w:val="auto"/>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auto"/>
      </w:rPr>
      <w:tblPr/>
      <w:tcPr>
        <w:shd w:val="clear" w:color="auto" w:fill="E6E6E6" w:themeFill="text1" w:themeFillTint="19"/>
      </w:tcPr>
    </w:tblStylePr>
    <w:tblStylePr w:type="lastRow">
      <w:rPr>
        <w:b/>
        <w:bCs/>
        <w:color w:val="au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auto"/>
      </w:rPr>
      <w:tblPr/>
      <w:tcPr>
        <w:tcBorders>
          <w:top w:val="nil"/>
          <w:left w:val="nil"/>
          <w:bottom w:val="nil"/>
          <w:right w:val="nil"/>
          <w:insideH w:val="nil"/>
          <w:insideV w:val="nil"/>
        </w:tcBorders>
        <w:shd w:val="clear" w:color="auto" w:fill="FFFFFF" w:themeFill="background1"/>
      </w:tcPr>
    </w:tblStylePr>
    <w:tblStylePr w:type="lastCol">
      <w:rPr>
        <w:b w:val="0"/>
        <w:bCs w:val="0"/>
        <w:color w:val="auto"/>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auto"/>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auto"/>
      </w:rPr>
      <w:tblPr/>
      <w:tcPr>
        <w:shd w:val="clear" w:color="auto" w:fill="EDF2F8" w:themeFill="accent1" w:themeFillTint="19"/>
      </w:tcPr>
    </w:tblStylePr>
    <w:tblStylePr w:type="lastRow">
      <w:rPr>
        <w:b/>
        <w:bCs/>
        <w:color w:val="au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auto"/>
      </w:rPr>
      <w:tblPr/>
      <w:tcPr>
        <w:tcBorders>
          <w:top w:val="nil"/>
          <w:left w:val="nil"/>
          <w:bottom w:val="nil"/>
          <w:right w:val="nil"/>
          <w:insideH w:val="nil"/>
          <w:insideV w:val="nil"/>
        </w:tcBorders>
        <w:shd w:val="clear" w:color="auto" w:fill="FFFFFF" w:themeFill="background1"/>
      </w:tcPr>
    </w:tblStylePr>
    <w:tblStylePr w:type="lastCol">
      <w:rPr>
        <w:b w:val="0"/>
        <w:bCs w:val="0"/>
        <w:color w:val="auto"/>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auto"/>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auto"/>
      </w:rPr>
      <w:tblPr/>
      <w:tcPr>
        <w:shd w:val="clear" w:color="auto" w:fill="F8EDED" w:themeFill="accent2" w:themeFillTint="19"/>
      </w:tcPr>
    </w:tblStylePr>
    <w:tblStylePr w:type="lastRow">
      <w:rPr>
        <w:b/>
        <w:bCs/>
        <w:color w:val="au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auto"/>
      </w:rPr>
      <w:tblPr/>
      <w:tcPr>
        <w:tcBorders>
          <w:top w:val="nil"/>
          <w:left w:val="nil"/>
          <w:bottom w:val="nil"/>
          <w:right w:val="nil"/>
          <w:insideH w:val="nil"/>
          <w:insideV w:val="nil"/>
        </w:tcBorders>
        <w:shd w:val="clear" w:color="auto" w:fill="FFFFFF" w:themeFill="background1"/>
      </w:tcPr>
    </w:tblStylePr>
    <w:tblStylePr w:type="lastCol">
      <w:rPr>
        <w:b w:val="0"/>
        <w:bCs w:val="0"/>
        <w:color w:val="auto"/>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auto"/>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auto"/>
      </w:rPr>
      <w:tblPr/>
      <w:tcPr>
        <w:shd w:val="clear" w:color="auto" w:fill="F5F8EE" w:themeFill="accent3" w:themeFillTint="19"/>
      </w:tcPr>
    </w:tblStylePr>
    <w:tblStylePr w:type="lastRow">
      <w:rPr>
        <w:b/>
        <w:bCs/>
        <w:color w:val="au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auto"/>
      </w:rPr>
      <w:tblPr/>
      <w:tcPr>
        <w:tcBorders>
          <w:top w:val="nil"/>
          <w:left w:val="nil"/>
          <w:bottom w:val="nil"/>
          <w:right w:val="nil"/>
          <w:insideH w:val="nil"/>
          <w:insideV w:val="nil"/>
        </w:tcBorders>
        <w:shd w:val="clear" w:color="auto" w:fill="FFFFFF" w:themeFill="background1"/>
      </w:tcPr>
    </w:tblStylePr>
    <w:tblStylePr w:type="lastCol">
      <w:rPr>
        <w:b w:val="0"/>
        <w:bCs w:val="0"/>
        <w:color w:val="auto"/>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auto"/>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auto"/>
      </w:rPr>
      <w:tblPr/>
      <w:tcPr>
        <w:shd w:val="clear" w:color="auto" w:fill="F2EFF6" w:themeFill="accent4" w:themeFillTint="19"/>
      </w:tcPr>
    </w:tblStylePr>
    <w:tblStylePr w:type="lastRow">
      <w:rPr>
        <w:b/>
        <w:bCs/>
        <w:color w:val="au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auto"/>
      </w:rPr>
      <w:tblPr/>
      <w:tcPr>
        <w:tcBorders>
          <w:top w:val="nil"/>
          <w:left w:val="nil"/>
          <w:bottom w:val="nil"/>
          <w:right w:val="nil"/>
          <w:insideH w:val="nil"/>
          <w:insideV w:val="nil"/>
        </w:tcBorders>
        <w:shd w:val="clear" w:color="auto" w:fill="FFFFFF" w:themeFill="background1"/>
      </w:tcPr>
    </w:tblStylePr>
    <w:tblStylePr w:type="lastCol">
      <w:rPr>
        <w:b w:val="0"/>
        <w:bCs w:val="0"/>
        <w:color w:val="auto"/>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auto"/>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auto"/>
      </w:rPr>
      <w:tblPr/>
      <w:tcPr>
        <w:shd w:val="clear" w:color="auto" w:fill="EDF6F9" w:themeFill="accent5" w:themeFillTint="19"/>
      </w:tcPr>
    </w:tblStylePr>
    <w:tblStylePr w:type="lastRow">
      <w:rPr>
        <w:b/>
        <w:bCs/>
        <w:color w:val="au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auto"/>
      </w:rPr>
      <w:tblPr/>
      <w:tcPr>
        <w:tcBorders>
          <w:top w:val="nil"/>
          <w:left w:val="nil"/>
          <w:bottom w:val="nil"/>
          <w:right w:val="nil"/>
          <w:insideH w:val="nil"/>
          <w:insideV w:val="nil"/>
        </w:tcBorders>
        <w:shd w:val="clear" w:color="auto" w:fill="FFFFFF" w:themeFill="background1"/>
      </w:tcPr>
    </w:tblStylePr>
    <w:tblStylePr w:type="lastCol">
      <w:rPr>
        <w:b w:val="0"/>
        <w:bCs w:val="0"/>
        <w:color w:val="auto"/>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auto"/>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auto"/>
      </w:rPr>
      <w:tblPr/>
      <w:tcPr>
        <w:shd w:val="clear" w:color="auto" w:fill="FEF4EC" w:themeFill="accent6" w:themeFillTint="19"/>
      </w:tcPr>
    </w:tblStylePr>
    <w:tblStylePr w:type="lastRow">
      <w:rPr>
        <w:b/>
        <w:bCs/>
        <w:color w:val="auto"/>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auto"/>
      </w:rPr>
      <w:tblPr/>
      <w:tcPr>
        <w:tcBorders>
          <w:top w:val="nil"/>
          <w:left w:val="nil"/>
          <w:bottom w:val="nil"/>
          <w:right w:val="nil"/>
          <w:insideH w:val="nil"/>
          <w:insideV w:val="nil"/>
        </w:tcBorders>
        <w:shd w:val="clear" w:color="auto" w:fill="FFFFFF" w:themeFill="background1"/>
      </w:tcPr>
    </w:tblStylePr>
    <w:tblStylePr w:type="lastCol">
      <w:rPr>
        <w:b w:val="0"/>
        <w:bCs w:val="0"/>
        <w:color w:val="auto"/>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au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au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auto"/>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auto"/>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au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au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auto"/>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auto"/>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au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au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auto"/>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auto"/>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au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au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auto"/>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auto"/>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au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au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auto"/>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auto"/>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au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au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auto"/>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auto"/>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auto"/>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auto"/>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auto"/>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auto"/>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auto"/>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auto"/>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auto"/>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auto"/>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auto"/>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auto"/>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auto"/>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auto"/>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auto"/>
      </w:rPr>
      <w:tblPr/>
      <w:tcPr>
        <w:tcBorders>
          <w:top w:val="single" w:sz="6" w:space="0" w:color="FFFFFF" w:themeColor="background1"/>
        </w:tcBorders>
        <w:shd w:val="clear" w:color="auto" w:fill="000000" w:themeFill="text1" w:themeFillShade="99"/>
      </w:tcPr>
    </w:tblStylePr>
    <w:tblStylePr w:type="firstCol">
      <w:rPr>
        <w:color w:val="auto"/>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auto"/>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auto"/>
      </w:rPr>
    </w:tblStylePr>
    <w:tblStylePr w:type="nwCell">
      <w:rPr>
        <w:color w:val="auto"/>
      </w:rPr>
    </w:tblStylePr>
  </w:style>
  <w:style w:type="table" w:styleId="ColorfulShading-Accent1">
    <w:name w:val="Colorful Shading Accent 1"/>
    <w:basedOn w:val="TableNormal"/>
    <w:uiPriority w:val="71"/>
    <w:rsid w:val="00CB0664"/>
    <w:pPr>
      <w:spacing w:after="0" w:line="240" w:lineRule="auto"/>
    </w:pPr>
    <w:rPr>
      <w:color w:val="auto"/>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auto"/>
      </w:rPr>
      <w:tblPr/>
      <w:tcPr>
        <w:tcBorders>
          <w:top w:val="single" w:sz="6" w:space="0" w:color="FFFFFF" w:themeColor="background1"/>
        </w:tcBorders>
        <w:shd w:val="clear" w:color="auto" w:fill="2C4C74" w:themeFill="accent1" w:themeFillShade="99"/>
      </w:tcPr>
    </w:tblStylePr>
    <w:tblStylePr w:type="firstCol">
      <w:rPr>
        <w:color w:val="auto"/>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auto"/>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auto"/>
      </w:rPr>
    </w:tblStylePr>
    <w:tblStylePr w:type="nwCell">
      <w:rPr>
        <w:color w:val="auto"/>
      </w:rPr>
    </w:tblStylePr>
  </w:style>
  <w:style w:type="table" w:styleId="ColorfulShading-Accent2">
    <w:name w:val="Colorful Shading Accent 2"/>
    <w:basedOn w:val="TableNormal"/>
    <w:uiPriority w:val="71"/>
    <w:rsid w:val="00CB0664"/>
    <w:pPr>
      <w:spacing w:after="0" w:line="240" w:lineRule="auto"/>
    </w:pPr>
    <w:rPr>
      <w:color w:val="auto"/>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auto"/>
      </w:rPr>
      <w:tblPr/>
      <w:tcPr>
        <w:tcBorders>
          <w:top w:val="single" w:sz="6" w:space="0" w:color="FFFFFF" w:themeColor="background1"/>
        </w:tcBorders>
        <w:shd w:val="clear" w:color="auto" w:fill="772C2A" w:themeFill="accent2" w:themeFillShade="99"/>
      </w:tcPr>
    </w:tblStylePr>
    <w:tblStylePr w:type="firstCol">
      <w:rPr>
        <w:color w:val="auto"/>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auto"/>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auto"/>
      </w:rPr>
    </w:tblStylePr>
    <w:tblStylePr w:type="nwCell">
      <w:rPr>
        <w:color w:val="auto"/>
      </w:rPr>
    </w:tblStylePr>
  </w:style>
  <w:style w:type="table" w:styleId="ColorfulShading-Accent3">
    <w:name w:val="Colorful Shading Accent 3"/>
    <w:basedOn w:val="TableNormal"/>
    <w:uiPriority w:val="71"/>
    <w:rsid w:val="00CB0664"/>
    <w:pPr>
      <w:spacing w:after="0" w:line="240" w:lineRule="auto"/>
    </w:pPr>
    <w:rPr>
      <w:color w:val="auto"/>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auto"/>
      </w:rPr>
      <w:tblPr/>
      <w:tcPr>
        <w:tcBorders>
          <w:top w:val="single" w:sz="6" w:space="0" w:color="FFFFFF" w:themeColor="background1"/>
        </w:tcBorders>
        <w:shd w:val="clear" w:color="auto" w:fill="5E7530" w:themeFill="accent3" w:themeFillShade="99"/>
      </w:tcPr>
    </w:tblStylePr>
    <w:tblStylePr w:type="firstCol">
      <w:rPr>
        <w:color w:val="auto"/>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auto"/>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auto"/>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auto"/>
      </w:rPr>
      <w:tblPr/>
      <w:tcPr>
        <w:tcBorders>
          <w:top w:val="single" w:sz="6" w:space="0" w:color="FFFFFF" w:themeColor="background1"/>
        </w:tcBorders>
        <w:shd w:val="clear" w:color="auto" w:fill="4C3B62" w:themeFill="accent4" w:themeFillShade="99"/>
      </w:tcPr>
    </w:tblStylePr>
    <w:tblStylePr w:type="firstCol">
      <w:rPr>
        <w:color w:val="auto"/>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auto"/>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auto"/>
      </w:rPr>
    </w:tblStylePr>
    <w:tblStylePr w:type="nwCell">
      <w:rPr>
        <w:color w:val="auto"/>
      </w:rPr>
    </w:tblStylePr>
  </w:style>
  <w:style w:type="table" w:styleId="ColorfulShading-Accent5">
    <w:name w:val="Colorful Shading Accent 5"/>
    <w:basedOn w:val="TableNormal"/>
    <w:uiPriority w:val="71"/>
    <w:rsid w:val="00CB0664"/>
    <w:pPr>
      <w:spacing w:after="0" w:line="240" w:lineRule="auto"/>
    </w:pPr>
    <w:rPr>
      <w:color w:val="auto"/>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auto"/>
      </w:rPr>
      <w:tblPr/>
      <w:tcPr>
        <w:tcBorders>
          <w:top w:val="single" w:sz="6" w:space="0" w:color="FFFFFF" w:themeColor="background1"/>
        </w:tcBorders>
        <w:shd w:val="clear" w:color="auto" w:fill="276A7C" w:themeFill="accent5" w:themeFillShade="99"/>
      </w:tcPr>
    </w:tblStylePr>
    <w:tblStylePr w:type="firstCol">
      <w:rPr>
        <w:color w:val="auto"/>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auto"/>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auto"/>
      </w:rPr>
    </w:tblStylePr>
    <w:tblStylePr w:type="nwCell">
      <w:rPr>
        <w:color w:val="auto"/>
      </w:rPr>
    </w:tblStylePr>
  </w:style>
  <w:style w:type="table" w:styleId="ColorfulShading-Accent6">
    <w:name w:val="Colorful Shading Accent 6"/>
    <w:basedOn w:val="TableNormal"/>
    <w:uiPriority w:val="71"/>
    <w:rsid w:val="00CB0664"/>
    <w:pPr>
      <w:spacing w:after="0" w:line="240" w:lineRule="auto"/>
    </w:pPr>
    <w:rPr>
      <w:color w:val="auto"/>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auto"/>
      </w:rPr>
      <w:tblPr/>
      <w:tcPr>
        <w:tcBorders>
          <w:top w:val="single" w:sz="6" w:space="0" w:color="FFFFFF" w:themeColor="background1"/>
        </w:tcBorders>
        <w:shd w:val="clear" w:color="auto" w:fill="B65608" w:themeFill="accent6" w:themeFillShade="99"/>
      </w:tcPr>
    </w:tblStylePr>
    <w:tblStylePr w:type="firstCol">
      <w:rPr>
        <w:color w:val="auto"/>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auto"/>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auto"/>
      </w:rPr>
    </w:tblStylePr>
    <w:tblStylePr w:type="nwCell">
      <w:rPr>
        <w:color w:val="auto"/>
      </w:rPr>
    </w:tblStylePr>
  </w:style>
  <w:style w:type="table" w:styleId="ColorfulList">
    <w:name w:val="Colorful List"/>
    <w:basedOn w:val="TableNormal"/>
    <w:uiPriority w:val="72"/>
    <w:rsid w:val="00CB0664"/>
    <w:pPr>
      <w:spacing w:after="0" w:line="240" w:lineRule="auto"/>
    </w:pPr>
    <w:rPr>
      <w:color w:val="auto"/>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auto"/>
      </w:rPr>
      <w:tblPr/>
      <w:tcPr>
        <w:tcBorders>
          <w:bottom w:val="single" w:sz="12" w:space="0" w:color="FFFFFF" w:themeColor="background1"/>
        </w:tcBorders>
        <w:shd w:val="clear" w:color="auto" w:fill="9E3A38" w:themeFill="accent2" w:themeFillShade="CC"/>
      </w:tcPr>
    </w:tblStylePr>
    <w:tblStylePr w:type="lastRow">
      <w:rPr>
        <w:b/>
        <w:bCs/>
        <w:color w:val="auto"/>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auto"/>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auto"/>
      </w:rPr>
      <w:tblPr/>
      <w:tcPr>
        <w:tcBorders>
          <w:bottom w:val="single" w:sz="12" w:space="0" w:color="FFFFFF" w:themeColor="background1"/>
        </w:tcBorders>
        <w:shd w:val="clear" w:color="auto" w:fill="9E3A38" w:themeFill="accent2" w:themeFillShade="CC"/>
      </w:tcPr>
    </w:tblStylePr>
    <w:tblStylePr w:type="lastRow">
      <w:rPr>
        <w:b/>
        <w:bCs/>
        <w:color w:val="auto"/>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auto"/>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auto"/>
      </w:rPr>
      <w:tblPr/>
      <w:tcPr>
        <w:tcBorders>
          <w:bottom w:val="single" w:sz="12" w:space="0" w:color="FFFFFF" w:themeColor="background1"/>
        </w:tcBorders>
        <w:shd w:val="clear" w:color="auto" w:fill="9E3A38" w:themeFill="accent2" w:themeFillShade="CC"/>
      </w:tcPr>
    </w:tblStylePr>
    <w:tblStylePr w:type="lastRow">
      <w:rPr>
        <w:b/>
        <w:bCs/>
        <w:color w:val="auto"/>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auto"/>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auto"/>
      </w:rPr>
      <w:tblPr/>
      <w:tcPr>
        <w:tcBorders>
          <w:bottom w:val="single" w:sz="12" w:space="0" w:color="FFFFFF" w:themeColor="background1"/>
        </w:tcBorders>
        <w:shd w:val="clear" w:color="auto" w:fill="664E82" w:themeFill="accent4" w:themeFillShade="CC"/>
      </w:tcPr>
    </w:tblStylePr>
    <w:tblStylePr w:type="lastRow">
      <w:rPr>
        <w:b/>
        <w:bCs/>
        <w:color w:val="auto"/>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auto"/>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auto"/>
      </w:rPr>
      <w:tblPr/>
      <w:tcPr>
        <w:tcBorders>
          <w:bottom w:val="single" w:sz="12" w:space="0" w:color="FFFFFF" w:themeColor="background1"/>
        </w:tcBorders>
        <w:shd w:val="clear" w:color="auto" w:fill="7E9C40" w:themeFill="accent3" w:themeFillShade="CC"/>
      </w:tcPr>
    </w:tblStylePr>
    <w:tblStylePr w:type="lastRow">
      <w:rPr>
        <w:b/>
        <w:bCs/>
        <w:color w:val="auto"/>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auto"/>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auto"/>
      </w:rPr>
      <w:tblPr/>
      <w:tcPr>
        <w:tcBorders>
          <w:bottom w:val="single" w:sz="12" w:space="0" w:color="FFFFFF" w:themeColor="background1"/>
        </w:tcBorders>
        <w:shd w:val="clear" w:color="auto" w:fill="F2730A" w:themeFill="accent6" w:themeFillShade="CC"/>
      </w:tcPr>
    </w:tblStylePr>
    <w:tblStylePr w:type="lastRow">
      <w:rPr>
        <w:b/>
        <w:bCs/>
        <w:color w:val="auto"/>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auto"/>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auto"/>
      </w:rPr>
      <w:tblPr/>
      <w:tcPr>
        <w:tcBorders>
          <w:bottom w:val="single" w:sz="12" w:space="0" w:color="FFFFFF" w:themeColor="background1"/>
        </w:tcBorders>
        <w:shd w:val="clear" w:color="auto" w:fill="348DA5" w:themeFill="accent5" w:themeFillShade="CC"/>
      </w:tcPr>
    </w:tblStylePr>
    <w:tblStylePr w:type="lastRow">
      <w:rPr>
        <w:b/>
        <w:bCs/>
        <w:color w:val="auto"/>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au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auto"/>
      </w:rPr>
      <w:tblPr/>
      <w:tcPr>
        <w:shd w:val="clear" w:color="auto" w:fill="999999" w:themeFill="text1" w:themeFillTint="66"/>
      </w:tcPr>
    </w:tblStylePr>
    <w:tblStylePr w:type="firstCol">
      <w:rPr>
        <w:color w:val="auto"/>
      </w:rPr>
      <w:tblPr/>
      <w:tcPr>
        <w:shd w:val="clear" w:color="auto" w:fill="000000" w:themeFill="text1" w:themeFillShade="BF"/>
      </w:tcPr>
    </w:tblStylePr>
    <w:tblStylePr w:type="lastCol">
      <w:rPr>
        <w:color w:val="auto"/>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au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auto"/>
      </w:rPr>
      <w:tblPr/>
      <w:tcPr>
        <w:shd w:val="clear" w:color="auto" w:fill="B8CCE4" w:themeFill="accent1" w:themeFillTint="66"/>
      </w:tcPr>
    </w:tblStylePr>
    <w:tblStylePr w:type="firstCol">
      <w:rPr>
        <w:color w:val="auto"/>
      </w:rPr>
      <w:tblPr/>
      <w:tcPr>
        <w:shd w:val="clear" w:color="auto" w:fill="365F91" w:themeFill="accent1" w:themeFillShade="BF"/>
      </w:tcPr>
    </w:tblStylePr>
    <w:tblStylePr w:type="lastCol">
      <w:rPr>
        <w:color w:val="auto"/>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au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auto"/>
      </w:rPr>
      <w:tblPr/>
      <w:tcPr>
        <w:shd w:val="clear" w:color="auto" w:fill="E5B8B7" w:themeFill="accent2" w:themeFillTint="66"/>
      </w:tcPr>
    </w:tblStylePr>
    <w:tblStylePr w:type="firstCol">
      <w:rPr>
        <w:color w:val="auto"/>
      </w:rPr>
      <w:tblPr/>
      <w:tcPr>
        <w:shd w:val="clear" w:color="auto" w:fill="943634" w:themeFill="accent2" w:themeFillShade="BF"/>
      </w:tcPr>
    </w:tblStylePr>
    <w:tblStylePr w:type="lastCol">
      <w:rPr>
        <w:color w:val="auto"/>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au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auto"/>
      </w:rPr>
      <w:tblPr/>
      <w:tcPr>
        <w:shd w:val="clear" w:color="auto" w:fill="D6E3BC" w:themeFill="accent3" w:themeFillTint="66"/>
      </w:tcPr>
    </w:tblStylePr>
    <w:tblStylePr w:type="firstCol">
      <w:rPr>
        <w:color w:val="auto"/>
      </w:rPr>
      <w:tblPr/>
      <w:tcPr>
        <w:shd w:val="clear" w:color="auto" w:fill="76923C" w:themeFill="accent3" w:themeFillShade="BF"/>
      </w:tcPr>
    </w:tblStylePr>
    <w:tblStylePr w:type="lastCol">
      <w:rPr>
        <w:color w:val="auto"/>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au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auto"/>
      </w:rPr>
      <w:tblPr/>
      <w:tcPr>
        <w:shd w:val="clear" w:color="auto" w:fill="CCC0D9" w:themeFill="accent4" w:themeFillTint="66"/>
      </w:tcPr>
    </w:tblStylePr>
    <w:tblStylePr w:type="firstCol">
      <w:rPr>
        <w:color w:val="auto"/>
      </w:rPr>
      <w:tblPr/>
      <w:tcPr>
        <w:shd w:val="clear" w:color="auto" w:fill="5F497A" w:themeFill="accent4" w:themeFillShade="BF"/>
      </w:tcPr>
    </w:tblStylePr>
    <w:tblStylePr w:type="lastCol">
      <w:rPr>
        <w:color w:val="auto"/>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au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auto"/>
      </w:rPr>
      <w:tblPr/>
      <w:tcPr>
        <w:shd w:val="clear" w:color="auto" w:fill="B6DDE8" w:themeFill="accent5" w:themeFillTint="66"/>
      </w:tcPr>
    </w:tblStylePr>
    <w:tblStylePr w:type="firstCol">
      <w:rPr>
        <w:color w:val="auto"/>
      </w:rPr>
      <w:tblPr/>
      <w:tcPr>
        <w:shd w:val="clear" w:color="auto" w:fill="31849B" w:themeFill="accent5" w:themeFillShade="BF"/>
      </w:tcPr>
    </w:tblStylePr>
    <w:tblStylePr w:type="lastCol">
      <w:rPr>
        <w:color w:val="auto"/>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auto"/>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auto"/>
      </w:rPr>
      <w:tblPr/>
      <w:tcPr>
        <w:shd w:val="clear" w:color="auto" w:fill="FBD4B4" w:themeFill="accent6" w:themeFillTint="66"/>
      </w:tcPr>
    </w:tblStylePr>
    <w:tblStylePr w:type="firstCol">
      <w:rPr>
        <w:color w:val="auto"/>
      </w:rPr>
      <w:tblPr/>
      <w:tcPr>
        <w:shd w:val="clear" w:color="auto" w:fill="E36C0A" w:themeFill="accent6" w:themeFillShade="BF"/>
      </w:tcPr>
    </w:tblStylePr>
    <w:tblStylePr w:type="lastCol">
      <w:rPr>
        <w:color w:val="auto"/>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Consulta de procedimentos internos com banco vetorial</dc:title>
  <dc:subject>Aplicação prática com Qdrant e embeddings multilíngues</dc:subject>
  <dc:creator>Grupo 3</dc:creator>
  <cp:keywords/>
  <dc:description>generated by python-docx</dc:description>
  <cp:lastModifiedBy/>
  <cp:revision>1</cp:revision>
  <dcterms:created xsi:type="dcterms:W3CDTF">2013-12-23T23:15:00Z</dcterms:created>
  <dcterms:modified xsi:type="dcterms:W3CDTF">2013-12-23T23:15:00Z</dcterms:modified>
  <cp:category/>
</cp:coreProperties>
</file>