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5112A606" w:rsidR="004D501A" w:rsidRPr="00681484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Courses Taken: Resource Recovery and Circular Economy, Environmental Modelling, Energy &amp; Society, Energy Policy and Politics, </w:t>
      </w:r>
      <w:r>
        <w:rPr>
          <w:rFonts w:ascii="Times New Roman" w:hAnsi="Times New Roman" w:cs="Times New Roman"/>
          <w:sz w:val="20"/>
          <w:szCs w:val="20"/>
        </w:rPr>
        <w:t xml:space="preserve">Energy in the Global South, </w:t>
      </w:r>
      <w:r>
        <w:rPr>
          <w:rFonts w:ascii="Times New Roman" w:hAnsi="Times New Roman" w:cs="Times New Roman"/>
          <w:sz w:val="20"/>
          <w:szCs w:val="20"/>
        </w:rPr>
        <w:t>Energy and Environmental Economics, Carbon Accounting &amp; Pricing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Pr="00CF6478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5AA6B301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745EF2AC" w14:textId="77777777" w:rsidR="00BC35CD" w:rsidRDefault="00BC35CD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523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Researched methods to improve the quality of collected Used Cooking Oil (UCO) and conducted UCO pretreatment processes, enabling the product to meet buyer specifications and increase resale value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64BAB2A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6BD585F0" w14:textId="77777777" w:rsidR="00852380" w:rsidRDefault="006F288C" w:rsidP="00852380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1959DB23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proofErr w:type="gramStart"/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proofErr w:type="gramStart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>highly-motivated</w:t>
      </w:r>
      <w:proofErr w:type="gramEnd"/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DA34A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proofErr w:type="gram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19A55" w14:textId="77777777" w:rsidR="0037203D" w:rsidRDefault="0037203D">
      <w:pPr>
        <w:spacing w:line="240" w:lineRule="auto"/>
      </w:pPr>
      <w:r>
        <w:separator/>
      </w:r>
    </w:p>
  </w:endnote>
  <w:endnote w:type="continuationSeparator" w:id="0">
    <w:p w14:paraId="69A47CAE" w14:textId="77777777" w:rsidR="0037203D" w:rsidRDefault="003720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FFEA4" w14:textId="77777777" w:rsidR="0037203D" w:rsidRDefault="0037203D">
      <w:pPr>
        <w:spacing w:after="0"/>
      </w:pPr>
      <w:r>
        <w:separator/>
      </w:r>
    </w:p>
  </w:footnote>
  <w:footnote w:type="continuationSeparator" w:id="0">
    <w:p w14:paraId="7875DB38" w14:textId="77777777" w:rsidR="0037203D" w:rsidRDefault="003720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CAC2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203D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1896"/>
    <w:rsid w:val="00A765C1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478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12</cp:revision>
  <cp:lastPrinted>2024-05-28T13:37:00Z</cp:lastPrinted>
  <dcterms:created xsi:type="dcterms:W3CDTF">2024-11-14T12:44:00Z</dcterms:created>
  <dcterms:modified xsi:type="dcterms:W3CDTF">2024-12-11T19:46:00Z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