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7A73B">
      <w:pPr>
        <w:spacing w:before="0" w:after="360" w:line="360" w:lineRule="auto"/>
        <w:jc w:val="center"/>
        <w:rPr>
          <w:rFonts w:hint="default" w:ascii="Times New Roman Regular" w:hAnsi="Times New Roman Regular" w:eastAsia="仿宋-简" w:cs="Times New Roman Regular"/>
        </w:rPr>
      </w:pPr>
      <w:r>
        <w:rPr>
          <w:rFonts w:hint="eastAsia" w:ascii="Times New Roman Regular" w:hAnsi="Times New Roman Regular" w:eastAsia="仿宋-简" w:cs="Times New Roman Regular"/>
          <w:b/>
          <w:color w:val="000000"/>
          <w:sz w:val="36"/>
          <w:lang w:val="en-US" w:eastAsia="zh-CN"/>
        </w:rPr>
        <w:t>跨</w:t>
      </w:r>
      <w:r>
        <w:rPr>
          <w:rFonts w:hint="default" w:ascii="Times New Roman Regular" w:hAnsi="Times New Roman Regular" w:eastAsia="仿宋-简" w:cs="Times New Roman Regular"/>
          <w:b/>
          <w:color w:val="000000"/>
          <w:sz w:val="36"/>
        </w:rPr>
        <w:t>文化知识建模核心框架</w:t>
      </w:r>
    </w:p>
    <w:p w14:paraId="5C860679">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一、框架目的与基本原则</w:t>
      </w:r>
    </w:p>
    <w:p w14:paraId="5FFBE035">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本框架用于将跨国调查、</w:t>
      </w:r>
      <w:r>
        <w:rPr>
          <w:rFonts w:hint="default" w:ascii="Times New Roman Regular" w:hAnsi="Times New Roman Regular" w:eastAsia="仿宋-简" w:cs="Times New Roman Regular"/>
          <w:b w:val="0"/>
          <w:color w:val="000000"/>
          <w:sz w:val="22"/>
          <w:lang w:val="en-US" w:eastAsia="zh-CN"/>
        </w:rPr>
        <w:t>文化产品等</w:t>
      </w:r>
      <w:r>
        <w:rPr>
          <w:rFonts w:hint="default" w:ascii="Times New Roman Regular" w:hAnsi="Times New Roman Regular" w:eastAsia="仿宋-简" w:cs="Times New Roman Regular"/>
          <w:b w:val="0"/>
          <w:color w:val="000000"/>
          <w:sz w:val="22"/>
        </w:rPr>
        <w:t>转化为可比较、可审计的文化知识单元。它既可以服务于国家文化画像，也可以用于构建文化测评题库和分析大语言模型对文化分布与文化结构的恢复能力。</w:t>
      </w:r>
    </w:p>
    <w:p w14:paraId="4CECF2A9">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框架不把国家</w:t>
      </w:r>
      <w:bookmarkStart w:id="0" w:name="_GoBack"/>
      <w:bookmarkEnd w:id="0"/>
      <w:r>
        <w:rPr>
          <w:rFonts w:hint="default" w:ascii="Times New Roman Regular" w:hAnsi="Times New Roman Regular" w:eastAsia="仿宋-简" w:cs="Times New Roman Regular"/>
          <w:b w:val="0"/>
          <w:color w:val="000000"/>
          <w:sz w:val="22"/>
        </w:rPr>
        <w:t>直接等同于文化。国家、地区和语言是确定参照总体的重要信息，但不能独立构成文化内容。一个国家内部可能存在地区、阶层、世代、宗教、族群和制度位置上的文化差异；不同国家之间也可能共享相近的文化模式。因此，国家文化画像应被理解为特定社会历史条件下文化命题的概率分布、命题之间的联合结构、情境变化及证据来源，而不是一组固定的国家性格标签。</w:t>
      </w:r>
    </w:p>
    <w:p w14:paraId="35D738DC">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框架同时区分单个文化命题与跨命题文化结构。单题回答可以是文化的经验指标，但不能仅凭一题证明某种图式、框架、叙事或话语场。结构判断必须建立在多个命题及其关系之上，并由联合分布、条件依赖、文本关系或实验效应提供支持。</w:t>
      </w:r>
    </w:p>
    <w:p w14:paraId="48D8288A">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二、总体架构</w:t>
      </w:r>
    </w:p>
    <w:p w14:paraId="4D281E22">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框架包含六个层次：C核心价值维度、D制度与生活场域、A文化判断对象、J判断与关系规则、S跨命题文化结构和X实质情境条件。其中C、D、A、J和X用于描述单</w:t>
      </w:r>
      <w:r>
        <w:rPr>
          <w:rFonts w:hint="default" w:ascii="Times New Roman Regular" w:hAnsi="Times New Roman Regular" w:eastAsia="仿宋-简" w:cs="Times New Roman Regular"/>
          <w:b w:val="0"/>
          <w:color w:val="000000"/>
          <w:sz w:val="22"/>
          <w:lang w:val="en-US" w:eastAsia="zh-CN"/>
        </w:rPr>
        <w:t>一</w:t>
      </w:r>
      <w:r>
        <w:rPr>
          <w:rFonts w:hint="default" w:ascii="Times New Roman Regular" w:hAnsi="Times New Roman Regular" w:eastAsia="仿宋-简" w:cs="Times New Roman Regular"/>
          <w:b w:val="0"/>
          <w:color w:val="000000"/>
          <w:sz w:val="22"/>
        </w:rPr>
        <w:t>命题，S用于描述多个命题之间的组织关系。</w:t>
      </w:r>
    </w:p>
    <w:p w14:paraId="402361CF">
      <w:pPr>
        <w:spacing w:line="360" w:lineRule="auto"/>
        <w:ind w:firstLine="420"/>
        <w:rPr>
          <w:rFonts w:hint="default" w:ascii="Times New Roman Regular" w:hAnsi="Times New Roman Regular" w:eastAsia="仿宋-简" w:cs="Times New Roman Regular"/>
          <w:b w:val="0"/>
          <w:color w:val="000000"/>
          <w:sz w:val="22"/>
          <w:lang w:eastAsia="zh-CN"/>
        </w:rPr>
      </w:pPr>
      <w:r>
        <w:rPr>
          <w:rFonts w:hint="default" w:ascii="Times New Roman Regular" w:hAnsi="Times New Roman Regular" w:eastAsia="仿宋-简" w:cs="Times New Roman Regular"/>
          <w:b w:val="0"/>
          <w:color w:val="000000"/>
          <w:sz w:val="22"/>
        </w:rPr>
        <w:t>单</w:t>
      </w:r>
      <w:r>
        <w:rPr>
          <w:rFonts w:hint="default" w:ascii="Times New Roman Regular" w:hAnsi="Times New Roman Regular" w:eastAsia="仿宋-简" w:cs="Times New Roman Regular"/>
          <w:b w:val="0"/>
          <w:color w:val="000000"/>
          <w:sz w:val="22"/>
          <w:lang w:val="en-US" w:eastAsia="zh-CN"/>
        </w:rPr>
        <w:t>一</w:t>
      </w:r>
      <w:r>
        <w:rPr>
          <w:rFonts w:hint="default" w:ascii="Times New Roman Regular" w:hAnsi="Times New Roman Regular" w:eastAsia="仿宋-简" w:cs="Times New Roman Regular"/>
          <w:b w:val="0"/>
          <w:color w:val="000000"/>
          <w:sz w:val="22"/>
        </w:rPr>
        <w:t>命题可以表示为 U</w:t>
      </w:r>
      <w:r>
        <w:rPr>
          <w:rFonts w:hint="default" w:ascii="Times New Roman Regular" w:hAnsi="Times New Roman Regular" w:eastAsia="仿宋-简" w:cs="Times New Roman Regular"/>
          <w:b w:val="0"/>
          <w:color w:val="000000"/>
          <w:sz w:val="22"/>
          <w:vertAlign w:val="subscript"/>
        </w:rPr>
        <w:t>i</w:t>
      </w:r>
      <w:r>
        <w:rPr>
          <w:rFonts w:hint="default" w:ascii="Times New Roman Regular" w:hAnsi="Times New Roman Regular" w:eastAsia="仿宋-简" w:cs="Times New Roman Regular"/>
          <w:b w:val="0"/>
          <w:color w:val="000000"/>
          <w:sz w:val="22"/>
        </w:rPr>
        <w:t>=(C</w:t>
      </w:r>
      <w:r>
        <w:rPr>
          <w:rFonts w:hint="default" w:ascii="Times New Roman Regular" w:hAnsi="Times New Roman Regular" w:eastAsia="仿宋-简" w:cs="Times New Roman Regular"/>
          <w:b w:val="0"/>
          <w:color w:val="000000"/>
          <w:sz w:val="22"/>
          <w:vertAlign w:val="subscript"/>
        </w:rPr>
        <w:t>i</w:t>
      </w:r>
      <w:r>
        <w:rPr>
          <w:rFonts w:hint="default" w:ascii="Times New Roman Regular" w:hAnsi="Times New Roman Regular" w:eastAsia="仿宋-简" w:cs="Times New Roman Regular"/>
          <w:b w:val="0"/>
          <w:color w:val="000000"/>
          <w:sz w:val="22"/>
        </w:rPr>
        <w:t>,D</w:t>
      </w:r>
      <w:r>
        <w:rPr>
          <w:rFonts w:hint="default" w:ascii="Times New Roman Regular" w:hAnsi="Times New Roman Regular" w:eastAsia="仿宋-简" w:cs="Times New Roman Regular"/>
          <w:b w:val="0"/>
          <w:color w:val="000000"/>
          <w:sz w:val="22"/>
          <w:vertAlign w:val="subscript"/>
        </w:rPr>
        <w:t>i</w:t>
      </w:r>
      <w:r>
        <w:rPr>
          <w:rFonts w:hint="default" w:ascii="Times New Roman Regular" w:hAnsi="Times New Roman Regular" w:eastAsia="仿宋-简" w:cs="Times New Roman Regular"/>
          <w:b w:val="0"/>
          <w:color w:val="000000"/>
          <w:sz w:val="22"/>
        </w:rPr>
        <w:t>,A</w:t>
      </w:r>
      <w:r>
        <w:rPr>
          <w:rFonts w:hint="default" w:ascii="Times New Roman Regular" w:hAnsi="Times New Roman Regular" w:eastAsia="仿宋-简" w:cs="Times New Roman Regular"/>
          <w:b w:val="0"/>
          <w:color w:val="000000"/>
          <w:sz w:val="22"/>
          <w:vertAlign w:val="subscript"/>
        </w:rPr>
        <w:t>i</w:t>
      </w:r>
      <w:r>
        <w:rPr>
          <w:rFonts w:hint="default" w:ascii="Times New Roman Regular" w:hAnsi="Times New Roman Regular" w:eastAsia="仿宋-简" w:cs="Times New Roman Regular"/>
          <w:b w:val="0"/>
          <w:color w:val="000000"/>
          <w:sz w:val="22"/>
        </w:rPr>
        <w:t>,J</w:t>
      </w:r>
      <w:r>
        <w:rPr>
          <w:rFonts w:hint="default" w:ascii="Times New Roman Regular" w:hAnsi="Times New Roman Regular" w:eastAsia="仿宋-简" w:cs="Times New Roman Regular"/>
          <w:b w:val="0"/>
          <w:color w:val="000000"/>
          <w:sz w:val="22"/>
          <w:vertAlign w:val="subscript"/>
        </w:rPr>
        <w:t>i</w:t>
      </w:r>
      <w:r>
        <w:rPr>
          <w:rFonts w:hint="default" w:ascii="Times New Roman Regular" w:hAnsi="Times New Roman Regular" w:eastAsia="仿宋-简" w:cs="Times New Roman Regular"/>
          <w:b w:val="0"/>
          <w:color w:val="000000"/>
          <w:sz w:val="22"/>
        </w:rPr>
        <w:t>|X</w:t>
      </w:r>
      <w:r>
        <w:rPr>
          <w:rFonts w:hint="default" w:ascii="Times New Roman Regular" w:hAnsi="Times New Roman Regular" w:eastAsia="仿宋-简" w:cs="Times New Roman Regular"/>
          <w:b w:val="0"/>
          <w:color w:val="000000"/>
          <w:sz w:val="22"/>
          <w:vertAlign w:val="subscript"/>
        </w:rPr>
        <w:t>i</w:t>
      </w:r>
      <w:r>
        <w:rPr>
          <w:rFonts w:hint="default" w:ascii="Times New Roman Regular" w:hAnsi="Times New Roman Regular" w:eastAsia="仿宋-简" w:cs="Times New Roman Regular"/>
          <w:b w:val="0"/>
          <w:color w:val="000000"/>
          <w:sz w:val="22"/>
        </w:rPr>
        <w:t>)。C回答依据什么价值方向判断，D回答判断发生在哪里，A回答谁或什么被判断，J回答作出了什么类型的判断，X回答该判断在什么实质情境条件下成立或变化。多个</w:t>
      </w:r>
      <w:r>
        <w:rPr>
          <w:rFonts w:hint="default" w:ascii="Times New Roman Regular" w:hAnsi="Times New Roman Regular" w:eastAsia="仿宋-简" w:cs="Times New Roman Regular"/>
          <w:b w:val="0"/>
          <w:color w:val="000000"/>
          <w:sz w:val="22"/>
          <w:lang w:val="en-US" w:eastAsia="zh-CN"/>
        </w:rPr>
        <w:t>单一</w:t>
      </w:r>
      <w:r>
        <w:rPr>
          <w:rFonts w:hint="default" w:ascii="Times New Roman Regular" w:hAnsi="Times New Roman Regular" w:eastAsia="仿宋-简" w:cs="Times New Roman Regular"/>
          <w:b w:val="0"/>
          <w:color w:val="000000"/>
          <w:sz w:val="22"/>
        </w:rPr>
        <w:t>命题进一步组成结构 S</w:t>
      </w:r>
      <w:r>
        <w:rPr>
          <w:rFonts w:hint="default" w:ascii="Times New Roman Regular" w:hAnsi="Times New Roman Regular" w:eastAsia="仿宋-简" w:cs="Times New Roman Regular"/>
          <w:b w:val="0"/>
          <w:color w:val="000000"/>
          <w:sz w:val="22"/>
          <w:vertAlign w:val="subscript"/>
        </w:rPr>
        <w:t>g</w:t>
      </w:r>
      <w:r>
        <w:rPr>
          <w:rFonts w:hint="default" w:ascii="Times New Roman Regular" w:hAnsi="Times New Roman Regular" w:eastAsia="仿宋-简" w:cs="Times New Roman Regular"/>
          <w:b w:val="0"/>
          <w:color w:val="000000"/>
          <w:sz w:val="22"/>
        </w:rPr>
        <w:t>=Structure(U</w:t>
      </w:r>
      <w:r>
        <w:rPr>
          <w:rFonts w:hint="default" w:ascii="Times New Roman Regular" w:hAnsi="Times New Roman Regular" w:eastAsia="仿宋-简" w:cs="Times New Roman Regular"/>
          <w:b w:val="0"/>
          <w:color w:val="000000"/>
          <w:sz w:val="22"/>
          <w:vertAlign w:val="subscript"/>
        </w:rPr>
        <w:t>1</w:t>
      </w:r>
      <w:r>
        <w:rPr>
          <w:rFonts w:hint="default" w:ascii="Times New Roman Regular" w:hAnsi="Times New Roman Regular" w:eastAsia="仿宋-简" w:cs="Times New Roman Regular"/>
          <w:b w:val="0"/>
          <w:color w:val="000000"/>
          <w:sz w:val="22"/>
        </w:rPr>
        <w:t>,...,U</w:t>
      </w:r>
      <w:r>
        <w:rPr>
          <w:rFonts w:hint="default" w:ascii="Times New Roman Regular" w:hAnsi="Times New Roman Regular" w:eastAsia="仿宋-简" w:cs="Times New Roman Regular"/>
          <w:b w:val="0"/>
          <w:color w:val="000000"/>
          <w:sz w:val="22"/>
          <w:vertAlign w:val="subscript"/>
        </w:rPr>
        <w:t>n</w:t>
      </w:r>
      <w:r>
        <w:rPr>
          <w:rFonts w:hint="default" w:ascii="Times New Roman Regular" w:hAnsi="Times New Roman Regular" w:eastAsia="仿宋-简" w:cs="Times New Roman Regular"/>
          <w:b w:val="0"/>
          <w:color w:val="000000"/>
          <w:sz w:val="22"/>
        </w:rPr>
        <w:t>)</w:t>
      </w:r>
      <w:r>
        <w:rPr>
          <w:rFonts w:hint="default" w:ascii="Times New Roman Regular" w:hAnsi="Times New Roman Regular" w:eastAsia="仿宋-简" w:cs="Times New Roman Regular"/>
          <w:b w:val="0"/>
          <w:color w:val="000000"/>
          <w:sz w:val="22"/>
          <w:lang w:eastAsia="zh-CN"/>
        </w:rPr>
        <w:t>。</w:t>
      </w:r>
    </w:p>
    <w:p w14:paraId="3525A920">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lang w:val="en-US" w:eastAsia="zh-CN"/>
        </w:rPr>
        <w:t>在</w:t>
      </w:r>
      <w:r>
        <w:rPr>
          <w:rFonts w:hint="default" w:ascii="Times New Roman Regular" w:hAnsi="Times New Roman Regular" w:eastAsia="仿宋-简" w:cs="Times New Roman Regular"/>
          <w:b w:val="0"/>
          <w:color w:val="000000"/>
          <w:sz w:val="22"/>
        </w:rPr>
        <w:t>C、D、A、J、X</w:t>
      </w:r>
      <w:r>
        <w:rPr>
          <w:rFonts w:hint="default" w:ascii="Times New Roman Regular" w:hAnsi="Times New Roman Regular" w:eastAsia="仿宋-简" w:cs="Times New Roman Regular"/>
          <w:b w:val="0"/>
          <w:color w:val="000000"/>
          <w:sz w:val="22"/>
          <w:lang w:val="en-US" w:eastAsia="zh-CN"/>
        </w:rPr>
        <w:t>中，</w:t>
      </w:r>
      <w:r>
        <w:rPr>
          <w:rFonts w:hint="default" w:ascii="Times New Roman Regular" w:hAnsi="Times New Roman Regular" w:eastAsia="仿宋-简" w:cs="Times New Roman Regular"/>
          <w:b w:val="0"/>
          <w:color w:val="000000"/>
          <w:sz w:val="22"/>
        </w:rPr>
        <w:t>D、A和J通常是单</w:t>
      </w:r>
      <w:r>
        <w:rPr>
          <w:rFonts w:hint="default" w:ascii="Times New Roman Regular" w:hAnsi="Times New Roman Regular" w:eastAsia="仿宋-简" w:cs="Times New Roman Regular"/>
          <w:b w:val="0"/>
          <w:color w:val="000000"/>
          <w:sz w:val="22"/>
          <w:lang w:val="en-US" w:eastAsia="zh-CN"/>
        </w:rPr>
        <w:t>一</w:t>
      </w:r>
      <w:r>
        <w:rPr>
          <w:rFonts w:hint="default" w:ascii="Times New Roman Regular" w:hAnsi="Times New Roman Regular" w:eastAsia="仿宋-简" w:cs="Times New Roman Regular"/>
          <w:b w:val="0"/>
          <w:color w:val="000000"/>
          <w:sz w:val="22"/>
        </w:rPr>
        <w:t>命题的必要信息；C只有在题干或回答中出现明确价值方向时才编码；X只有在材料明确提供实质情境条件时才编码；S只有在存在多个节点及其关系证据时才编码。</w:t>
      </w:r>
    </w:p>
    <w:p w14:paraId="527EEF02">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三、C：核心价值维度</w:t>
      </w:r>
    </w:p>
    <w:p w14:paraId="22B921B3">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C表示文化判断所依据的价值方向。本框架采用Schwartz的文化价值取向理论，以三组基本社会问题构成核心价值坐标。</w:t>
      </w:r>
    </w:p>
    <w:p w14:paraId="08C0A188">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C1 自主—嵌入。</w:t>
      </w:r>
      <w:r>
        <w:rPr>
          <w:rFonts w:hint="default" w:ascii="Times New Roman Regular" w:hAnsi="Times New Roman Regular" w:eastAsia="仿宋-简" w:cs="Times New Roman Regular"/>
          <w:b w:val="0"/>
          <w:color w:val="000000"/>
          <w:sz w:val="22"/>
        </w:rPr>
        <w:t>自主强调个人是相对独立的选择和行动主体；嵌入强调个人是家庭、共同体或其他群体的组成部分。该维度处理个体与群体应形成何种关系。</w:t>
      </w:r>
    </w:p>
    <w:p w14:paraId="68FADA29">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C2 平等—等级。</w:t>
      </w:r>
      <w:r>
        <w:rPr>
          <w:rFonts w:hint="default" w:ascii="Times New Roman Regular" w:hAnsi="Times New Roman Regular" w:eastAsia="仿宋-简" w:cs="Times New Roman Regular"/>
          <w:b w:val="0"/>
          <w:color w:val="000000"/>
          <w:sz w:val="22"/>
        </w:rPr>
        <w:t>平等强调道德地位平等、共同责任、参与和协商；等级强调以角色、地位、权威和不对称责任组织秩序。该维度处理社会成员如何协调行动和维持秩序。</w:t>
      </w:r>
    </w:p>
    <w:p w14:paraId="7F1DE88C">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C3 掌控—和谐。</w:t>
      </w:r>
      <w:r>
        <w:rPr>
          <w:rFonts w:hint="default" w:ascii="Times New Roman Regular" w:hAnsi="Times New Roman Regular" w:eastAsia="仿宋-简" w:cs="Times New Roman Regular"/>
          <w:b w:val="0"/>
          <w:color w:val="000000"/>
          <w:sz w:val="22"/>
        </w:rPr>
        <w:t>掌控强调能力、竞争、成就和主动改变环境；和谐强调适应环境、限制破坏性控制并维持共处和平衡。该维度处理人应如何对待社会与自然环境。</w:t>
      </w:r>
    </w:p>
    <w:p w14:paraId="12135CC3">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如果命题只是表达事实判断、因果判断、信任程度或个人经历，而没有明确价值比较，不应根据主题强行推断 C。此时记录为不适用或 C0-UNSPEC。例如，对陌生人的低信任可能来自现实风险、既往经验或治安状况，不能自动解释为嵌入价值。</w:t>
      </w:r>
    </w:p>
    <w:p w14:paraId="35785E0E">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四、D：制度与生活场域</w:t>
      </w:r>
    </w:p>
    <w:p w14:paraId="15267A61">
      <w:pPr>
        <w:spacing w:line="360" w:lineRule="auto"/>
        <w:ind w:firstLine="420"/>
        <w:rPr>
          <w:rFonts w:hint="default" w:ascii="Times New Roman Regular" w:hAnsi="Times New Roman Regular" w:eastAsia="仿宋-简" w:cs="Times New Roman Regular"/>
        </w:rPr>
      </w:pPr>
      <w:r>
        <w:rPr>
          <w:rFonts w:hint="eastAsia" w:ascii="Times New Roman Regular" w:hAnsi="Times New Roman Regular" w:eastAsia="仿宋-简" w:cs="Times New Roman Regular"/>
          <w:b w:val="0"/>
          <w:color w:val="000000"/>
          <w:sz w:val="22"/>
          <w:lang w:val="en-US" w:eastAsia="zh-CN"/>
        </w:rPr>
        <w:t>D</w:t>
      </w:r>
      <w:r>
        <w:rPr>
          <w:rFonts w:hint="default" w:ascii="Times New Roman Regular" w:hAnsi="Times New Roman Regular" w:eastAsia="仿宋-简" w:cs="Times New Roman Regular"/>
          <w:b w:val="0"/>
          <w:color w:val="000000"/>
          <w:sz w:val="22"/>
        </w:rPr>
        <w:t>表示文化判断发生的制度或生活领域。场域回答的是“在哪里发生判断”，而不是“判断了什么”或“采用了什么道德标准”。本框架设置五个核心制度场域和三个扩展专业场域。</w:t>
      </w:r>
    </w:p>
    <w:p w14:paraId="55C2D156">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D1 家庭、亲属与亲密关系。</w:t>
      </w:r>
      <w:r>
        <w:rPr>
          <w:rFonts w:hint="default" w:ascii="Times New Roman Regular" w:hAnsi="Times New Roman Regular" w:eastAsia="仿宋-简" w:cs="Times New Roman Regular"/>
          <w:b w:val="0"/>
          <w:color w:val="000000"/>
          <w:sz w:val="22"/>
        </w:rPr>
        <w:t>包括婚姻、伴侣、亲属身份、代际义务、生育、家庭决策和私人照料。</w:t>
      </w:r>
    </w:p>
    <w:p w14:paraId="4F94BD1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D2 社区与社会交往。</w:t>
      </w:r>
      <w:r>
        <w:rPr>
          <w:rFonts w:hint="default" w:ascii="Times New Roman Regular" w:hAnsi="Times New Roman Regular" w:eastAsia="仿宋-简" w:cs="Times New Roman Regular"/>
          <w:b w:val="0"/>
          <w:color w:val="000000"/>
          <w:sz w:val="22"/>
        </w:rPr>
        <w:t>包括邻里、朋友、熟人、陌生人、地方共同体、信任、互惠和日常交往。</w:t>
      </w:r>
    </w:p>
    <w:p w14:paraId="5FB5834D">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D3 宗教与神圣生活。</w:t>
      </w:r>
      <w:r>
        <w:rPr>
          <w:rFonts w:hint="default" w:ascii="Times New Roman Regular" w:hAnsi="Times New Roman Regular" w:eastAsia="仿宋-简" w:cs="Times New Roman Regular"/>
          <w:b w:val="0"/>
          <w:color w:val="000000"/>
          <w:sz w:val="22"/>
        </w:rPr>
        <w:t>包括信仰、仪式、宗教组织、神圣权威、宗教实践和宗教边界。</w:t>
      </w:r>
    </w:p>
    <w:p w14:paraId="0AF15AC2">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D4 国家、政治与法律。</w:t>
      </w:r>
      <w:r>
        <w:rPr>
          <w:rFonts w:hint="default" w:ascii="Times New Roman Regular" w:hAnsi="Times New Roman Regular" w:eastAsia="仿宋-简" w:cs="Times New Roman Regular"/>
          <w:b w:val="0"/>
          <w:color w:val="000000"/>
          <w:sz w:val="22"/>
        </w:rPr>
        <w:t>包括国家、政府、法律、公民身份、民主、公共权力、政治参与和公共责任。</w:t>
      </w:r>
    </w:p>
    <w:p w14:paraId="5126E812">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D5 市场、工作与组织。</w:t>
      </w:r>
      <w:r>
        <w:rPr>
          <w:rFonts w:hint="default" w:ascii="Times New Roman Regular" w:hAnsi="Times New Roman Regular" w:eastAsia="仿宋-简" w:cs="Times New Roman Regular"/>
          <w:b w:val="0"/>
          <w:color w:val="000000"/>
          <w:sz w:val="22"/>
        </w:rPr>
        <w:t>包括市场交换、劳动、职业、公司、绩效、竞争、分配和组织权威。</w:t>
      </w:r>
    </w:p>
    <w:p w14:paraId="105DC3C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D6 教育、知识、科学与技术。</w:t>
      </w:r>
      <w:r>
        <w:rPr>
          <w:rFonts w:hint="default" w:ascii="Times New Roman Regular" w:hAnsi="Times New Roman Regular" w:eastAsia="仿宋-简" w:cs="Times New Roman Regular"/>
          <w:b w:val="0"/>
          <w:color w:val="000000"/>
          <w:sz w:val="22"/>
        </w:rPr>
        <w:t>包括学校教育、儿童社会化、专业知识、科学实践、技术采用和科技风险。</w:t>
      </w:r>
    </w:p>
    <w:p w14:paraId="2F5B375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D7 媒介、艺术、消费与文化生产。</w:t>
      </w:r>
      <w:r>
        <w:rPr>
          <w:rFonts w:hint="default" w:ascii="Times New Roman Regular" w:hAnsi="Times New Roman Regular" w:eastAsia="仿宋-简" w:cs="Times New Roman Regular"/>
          <w:b w:val="0"/>
          <w:color w:val="000000"/>
          <w:sz w:val="22"/>
        </w:rPr>
        <w:t>包括新闻、平台、艺术、审美、流行文化、消费、文化产业、生产和传播。</w:t>
      </w:r>
    </w:p>
    <w:p w14:paraId="639A6C47">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D8 健康、身体、照料与生命历程。</w:t>
      </w:r>
      <w:r>
        <w:rPr>
          <w:rFonts w:hint="default" w:ascii="Times New Roman Regular" w:hAnsi="Times New Roman Regular" w:eastAsia="仿宋-简" w:cs="Times New Roman Regular"/>
          <w:b w:val="0"/>
          <w:color w:val="000000"/>
          <w:sz w:val="22"/>
        </w:rPr>
        <w:t>包括健康、疾病、身体规范、医疗决策、生命伦理、照料和生命历程。</w:t>
      </w:r>
    </w:p>
    <w:p w14:paraId="74CC75B1">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道德伦理不是独立场域，因为规范和评价可以出现在所有场域中。性别、阶层、身份和象征边界也不是场域，而分别属于判断对象或跨命题结构。每条命题设置一个主要 D；只有另一个场域对理解命题不可缺少时才增加次要 D。</w:t>
      </w:r>
    </w:p>
    <w:p w14:paraId="01C58C48">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五、A：文化判断对象</w:t>
      </w:r>
    </w:p>
    <w:p w14:paraId="6E791642">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A表示文化命题正在分类、评价、比较、赋予权利义务、表征或制度安排的对象。A不等同于受访者人口属性：受访者的性别、年龄和教育若只是样本背景，属于元数据；只有成为题干中被判断的对象时才进入 A。</w:t>
      </w:r>
    </w:p>
    <w:p w14:paraId="281B0BA1">
      <w:pPr>
        <w:pStyle w:val="4"/>
        <w:keepNext/>
        <w:numPr>
          <w:ilvl w:val="0"/>
          <w:numId w:val="7"/>
        </w:numPr>
        <w:spacing w:line="360" w:lineRule="auto"/>
        <w:ind w:left="420" w:leftChars="0" w:hanging="420" w:firstLineChars="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社会类别与身份对象</w:t>
      </w:r>
    </w:p>
    <w:p w14:paraId="18C3EFC7">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 性别与性别化类别。</w:t>
      </w:r>
      <w:r>
        <w:rPr>
          <w:rFonts w:hint="default" w:ascii="Times New Roman Regular" w:hAnsi="Times New Roman Regular" w:eastAsia="仿宋-简" w:cs="Times New Roman Regular"/>
          <w:b w:val="0"/>
          <w:color w:val="000000"/>
          <w:sz w:val="22"/>
        </w:rPr>
        <w:t>女性、男性及其他性别身份、能力、角色和权利分类。</w:t>
      </w:r>
    </w:p>
    <w:p w14:paraId="098FC1E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A2 性、性取向、亲密身份与家庭形式。</w:t>
      </w:r>
      <w:r>
        <w:rPr>
          <w:rFonts w:hint="default" w:ascii="Times New Roman Regular" w:hAnsi="Times New Roman Regular" w:eastAsia="仿宋-简" w:cs="Times New Roman Regular"/>
          <w:b w:val="0"/>
          <w:color w:val="000000"/>
          <w:sz w:val="22"/>
        </w:rPr>
        <w:t>性取向、亲密身份、婚姻或同居状态以及不同家庭形式。</w:t>
      </w:r>
    </w:p>
    <w:p w14:paraId="4293E00C">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A3 年龄、世代与生命阶段。</w:t>
      </w:r>
      <w:r>
        <w:rPr>
          <w:rFonts w:hint="default" w:ascii="Times New Roman Regular" w:hAnsi="Times New Roman Regular" w:eastAsia="仿宋-简" w:cs="Times New Roman Regular"/>
          <w:b w:val="0"/>
          <w:color w:val="000000"/>
          <w:sz w:val="22"/>
        </w:rPr>
        <w:t>儿童、青年、成年、老年、历史世代和生命历程类别。</w:t>
      </w:r>
    </w:p>
    <w:p w14:paraId="548CFCBB">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A4 阶层、教育、职业与经济地位。</w:t>
      </w:r>
      <w:r>
        <w:rPr>
          <w:rFonts w:hint="default" w:ascii="Times New Roman Regular" w:hAnsi="Times New Roman Regular" w:eastAsia="仿宋-简" w:cs="Times New Roman Regular"/>
          <w:b w:val="0"/>
          <w:color w:val="000000"/>
          <w:sz w:val="22"/>
        </w:rPr>
        <w:t>阶层、贫富、教育资历、职业、就业和经济位置。</w:t>
      </w:r>
    </w:p>
    <w:p w14:paraId="1D4EF773">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A5 种族、族群、原住民与血统类别。</w:t>
      </w:r>
      <w:r>
        <w:rPr>
          <w:rFonts w:hint="default" w:ascii="Times New Roman Regular" w:hAnsi="Times New Roman Regular" w:eastAsia="仿宋-简" w:cs="Times New Roman Regular"/>
          <w:b w:val="0"/>
          <w:color w:val="000000"/>
          <w:sz w:val="22"/>
        </w:rPr>
        <w:t>种族化、肤色、族群、原住民和血统分类。</w:t>
      </w:r>
    </w:p>
    <w:p w14:paraId="225C11A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A6 国族、公民身份与迁移类别。</w:t>
      </w:r>
      <w:r>
        <w:rPr>
          <w:rFonts w:hint="default" w:ascii="Times New Roman Regular" w:hAnsi="Times New Roman Regular" w:eastAsia="仿宋-简" w:cs="Times New Roman Regular"/>
          <w:b w:val="0"/>
          <w:color w:val="000000"/>
          <w:sz w:val="22"/>
        </w:rPr>
        <w:t>国籍、公民或非公民、本地或外来、移民、难民和跨国身份。</w:t>
      </w:r>
    </w:p>
    <w:p w14:paraId="5D2EE6E1">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A7 宗教、信仰与世俗身份。</w:t>
      </w:r>
      <w:r>
        <w:rPr>
          <w:rFonts w:hint="default" w:ascii="Times New Roman Regular" w:hAnsi="Times New Roman Regular" w:eastAsia="仿宋-简" w:cs="Times New Roman Regular"/>
          <w:b w:val="0"/>
          <w:color w:val="000000"/>
          <w:sz w:val="22"/>
        </w:rPr>
        <w:t>宗教归属、教派、信徒或非信徒、多数或少数身份。</w:t>
      </w:r>
    </w:p>
    <w:p w14:paraId="5F08C9BD">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A8 语言与文化—语言群体。</w:t>
      </w:r>
      <w:r>
        <w:rPr>
          <w:rFonts w:hint="default" w:ascii="Times New Roman Regular" w:hAnsi="Times New Roman Regular" w:eastAsia="仿宋-简" w:cs="Times New Roman Regular"/>
          <w:b w:val="0"/>
          <w:color w:val="000000"/>
          <w:sz w:val="22"/>
        </w:rPr>
        <w:t>语言、方言、口音、家庭语言及其标记的文化共同体。</w:t>
      </w:r>
    </w:p>
    <w:p w14:paraId="77D1B67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A9 身体、外貌、健康与残障类别。</w:t>
      </w:r>
      <w:r>
        <w:rPr>
          <w:rFonts w:hint="default" w:ascii="Times New Roman Regular" w:hAnsi="Times New Roman Regular" w:eastAsia="仿宋-简" w:cs="Times New Roman Regular"/>
          <w:b w:val="0"/>
          <w:color w:val="000000"/>
          <w:sz w:val="22"/>
        </w:rPr>
        <w:t>身体能力、疾病、残障、体貌、体型和健康状态。</w:t>
      </w:r>
    </w:p>
    <w:p w14:paraId="6ABD8894">
      <w:pPr>
        <w:pStyle w:val="4"/>
        <w:keepNext/>
        <w:numPr>
          <w:ilvl w:val="0"/>
          <w:numId w:val="7"/>
        </w:numPr>
        <w:spacing w:line="360" w:lineRule="auto"/>
        <w:ind w:left="420" w:leftChars="0" w:hanging="420" w:firstLineChars="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关系、角色与集体对象</w:t>
      </w:r>
    </w:p>
    <w:p w14:paraId="039FE43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A10 亲属与家庭关系角色。</w:t>
      </w:r>
      <w:r>
        <w:rPr>
          <w:rFonts w:hint="default" w:ascii="Times New Roman Regular" w:hAnsi="Times New Roman Regular" w:eastAsia="仿宋-简" w:cs="Times New Roman Regular"/>
          <w:b w:val="0"/>
          <w:color w:val="000000"/>
          <w:sz w:val="22"/>
        </w:rPr>
        <w:t>父母、子女、配偶、伴侣、兄弟姐妹和长幼等关系位置。</w:t>
      </w:r>
    </w:p>
    <w:p w14:paraId="0567E977">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A11 关系距离与社会联结对象。</w:t>
      </w:r>
      <w:r>
        <w:rPr>
          <w:rFonts w:hint="default" w:ascii="Times New Roman Regular" w:hAnsi="Times New Roman Regular" w:eastAsia="仿宋-简" w:cs="Times New Roman Regular"/>
          <w:b w:val="0"/>
          <w:color w:val="000000"/>
          <w:sz w:val="22"/>
        </w:rPr>
        <w:t>家人、朋友、邻居、熟人、同事、初见者和陌生人等关系类别。</w:t>
      </w:r>
    </w:p>
    <w:p w14:paraId="30CEB67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A12 权威、地位与专业角色。</w:t>
      </w:r>
      <w:r>
        <w:rPr>
          <w:rFonts w:hint="default" w:ascii="Times New Roman Regular" w:hAnsi="Times New Roman Regular" w:eastAsia="仿宋-简" w:cs="Times New Roman Regular"/>
          <w:b w:val="0"/>
          <w:color w:val="000000"/>
          <w:sz w:val="22"/>
        </w:rPr>
        <w:t>领导与下属、雇主与雇员、专家与公众、教师、医生和法官等角色。</w:t>
      </w:r>
    </w:p>
    <w:p w14:paraId="2C41445B">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A13 群体、社群、公众与社会运动。</w:t>
      </w:r>
      <w:r>
        <w:rPr>
          <w:rFonts w:hint="default" w:ascii="Times New Roman Regular" w:hAnsi="Times New Roman Regular" w:eastAsia="仿宋-简" w:cs="Times New Roman Regular"/>
          <w:b w:val="0"/>
          <w:color w:val="000000"/>
          <w:sz w:val="22"/>
        </w:rPr>
        <w:t>地方社群、亚文化、公众、反公众、身份群体和社会运动。</w:t>
      </w:r>
    </w:p>
    <w:p w14:paraId="08DB3C42">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A14 组织与制度实体。</w:t>
      </w:r>
      <w:r>
        <w:rPr>
          <w:rFonts w:hint="default" w:ascii="Times New Roman Regular" w:hAnsi="Times New Roman Regular" w:eastAsia="仿宋-简" w:cs="Times New Roman Regular"/>
          <w:b w:val="0"/>
          <w:color w:val="000000"/>
          <w:sz w:val="22"/>
        </w:rPr>
        <w:t>政府、法院、警察、学校、公司、银行、媒体、宗教组织和国际组织。</w:t>
      </w:r>
    </w:p>
    <w:p w14:paraId="627C087B">
      <w:pPr>
        <w:pStyle w:val="4"/>
        <w:keepNext/>
        <w:numPr>
          <w:ilvl w:val="0"/>
          <w:numId w:val="7"/>
        </w:numPr>
        <w:spacing w:line="360" w:lineRule="auto"/>
        <w:ind w:left="420" w:leftChars="0" w:hanging="420" w:firstLineChars="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实践、规则、知识、符号与物质对象</w:t>
      </w:r>
    </w:p>
    <w:p w14:paraId="49D4ACEB">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A15 行为、实践与生活方式。</w:t>
      </w:r>
      <w:r>
        <w:rPr>
          <w:rFonts w:hint="default" w:ascii="Times New Roman Regular" w:hAnsi="Times New Roman Regular" w:eastAsia="仿宋-简" w:cs="Times New Roman Regular"/>
          <w:b w:val="0"/>
          <w:color w:val="000000"/>
          <w:sz w:val="22"/>
        </w:rPr>
        <w:t>被评价、允许、禁止或模仿的劳动、照料、消费、宗教、亲密和越轨实践。</w:t>
      </w:r>
    </w:p>
    <w:p w14:paraId="5F0BFA1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A16 规范、规则、政策与制度安排。</w:t>
      </w:r>
      <w:r>
        <w:rPr>
          <w:rFonts w:hint="default" w:ascii="Times New Roman Regular" w:hAnsi="Times New Roman Regular" w:eastAsia="仿宋-简" w:cs="Times New Roman Regular"/>
          <w:b w:val="0"/>
          <w:color w:val="000000"/>
          <w:sz w:val="22"/>
        </w:rPr>
        <w:t>法律、政策、程序、资格标准、权利义务和制度设计。</w:t>
      </w:r>
    </w:p>
    <w:p w14:paraId="73CA2508">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A17 知识主张、科学与技术对象。</w:t>
      </w:r>
      <w:r>
        <w:rPr>
          <w:rFonts w:hint="default" w:ascii="Times New Roman Regular" w:hAnsi="Times New Roman Regular" w:eastAsia="仿宋-简" w:cs="Times New Roman Regular"/>
          <w:b w:val="0"/>
          <w:color w:val="000000"/>
          <w:sz w:val="22"/>
        </w:rPr>
        <w:t>被判断真伪、可信度、风险或后果的知识、科学实践和技术系统。</w:t>
      </w:r>
    </w:p>
    <w:p w14:paraId="483CD4BB">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A18 媒介、艺术、符号、叙事与记忆对象。</w:t>
      </w:r>
      <w:r>
        <w:rPr>
          <w:rFonts w:hint="default" w:ascii="Times New Roman Regular" w:hAnsi="Times New Roman Regular" w:eastAsia="仿宋-简" w:cs="Times New Roman Regular"/>
          <w:b w:val="0"/>
          <w:color w:val="000000"/>
          <w:sz w:val="22"/>
        </w:rPr>
        <w:t>文本、图像、新闻、影视、艺术、仪式符号、故事、历史叙事和纪念物。</w:t>
      </w:r>
    </w:p>
    <w:p w14:paraId="02ACC390">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A19 物件、空间、自然与非人对象。</w:t>
      </w:r>
      <w:r>
        <w:rPr>
          <w:rFonts w:hint="default" w:ascii="Times New Roman Regular" w:hAnsi="Times New Roman Regular" w:eastAsia="仿宋-简" w:cs="Times New Roman Regular"/>
          <w:b w:val="0"/>
          <w:color w:val="000000"/>
          <w:sz w:val="22"/>
        </w:rPr>
        <w:t>日常物件、建筑、设施、地点、景观、动物、生态和自然环境。</w:t>
      </w:r>
    </w:p>
    <w:p w14:paraId="43B51BCE">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每个原子命题设置一个主要 A。</w:t>
      </w:r>
    </w:p>
    <w:p w14:paraId="1E6FC0BD">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六、J：判断与关系规则</w:t>
      </w:r>
    </w:p>
    <w:p w14:paraId="19854AB2">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J表示原子命题对对象作出的主要判断。复杂句应先拆成可以独立判断真假的最小主张；拆分以后，每条命题原则上只有一个主要J。</w:t>
      </w:r>
    </w:p>
    <w:p w14:paraId="44B23C16">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J1 分类与成员资格。</w:t>
      </w:r>
      <w:r>
        <w:rPr>
          <w:rFonts w:hint="default" w:ascii="Times New Roman Regular" w:hAnsi="Times New Roman Regular" w:eastAsia="仿宋-简" w:cs="Times New Roman Regular"/>
          <w:b w:val="0"/>
          <w:color w:val="000000"/>
          <w:sz w:val="22"/>
        </w:rPr>
        <w:t>判断对象属于、不属于或是否有资格进入某个类别、群体或边界。</w:t>
      </w:r>
    </w:p>
    <w:p w14:paraId="2B23A895">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J2 属性与因果信念。</w:t>
      </w:r>
      <w:r>
        <w:rPr>
          <w:rFonts w:hint="default" w:ascii="Times New Roman Regular" w:hAnsi="Times New Roman Regular" w:eastAsia="仿宋-简" w:cs="Times New Roman Regular"/>
          <w:b w:val="0"/>
          <w:color w:val="000000"/>
          <w:sz w:val="22"/>
        </w:rPr>
        <w:t>赋予对象属性、能力、倾向或后果，或者判断因果关系。</w:t>
      </w:r>
    </w:p>
    <w:p w14:paraId="46559760">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J3 评价与排序。</w:t>
      </w:r>
      <w:r>
        <w:rPr>
          <w:rFonts w:hint="default" w:ascii="Times New Roman Regular" w:hAnsi="Times New Roman Regular" w:eastAsia="仿宋-简" w:cs="Times New Roman Regular"/>
          <w:b w:val="0"/>
          <w:color w:val="000000"/>
          <w:sz w:val="22"/>
        </w:rPr>
        <w:t>比较对象的价值、能力、可信度、正当性、表现或地位。</w:t>
      </w:r>
    </w:p>
    <w:p w14:paraId="05481491">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J4 规范、义务与许可。</w:t>
      </w:r>
      <w:r>
        <w:rPr>
          <w:rFonts w:hint="default" w:ascii="Times New Roman Regular" w:hAnsi="Times New Roman Regular" w:eastAsia="仿宋-简" w:cs="Times New Roman Regular"/>
          <w:b w:val="0"/>
          <w:color w:val="000000"/>
          <w:sz w:val="22"/>
        </w:rPr>
        <w:t>判断行为、规则或安排应该、必须、可以、不得，或者行动者是否负有责任。</w:t>
      </w:r>
    </w:p>
    <w:p w14:paraId="768C098E">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J5 关系与资源配置。</w:t>
      </w:r>
      <w:r>
        <w:rPr>
          <w:rFonts w:hint="default" w:ascii="Times New Roman Regular" w:hAnsi="Times New Roman Regular" w:eastAsia="仿宋-简" w:cs="Times New Roman Regular"/>
          <w:b w:val="0"/>
          <w:color w:val="000000"/>
          <w:sz w:val="22"/>
        </w:rPr>
        <w:t>判断行动者之间如何信任、帮助、服从、照料、交换、回报或分配资源。</w:t>
      </w:r>
    </w:p>
    <w:p w14:paraId="20068E8E">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J6 表征与身份主张。</w:t>
      </w:r>
      <w:r>
        <w:rPr>
          <w:rFonts w:hint="default" w:ascii="Times New Roman Regular" w:hAnsi="Times New Roman Regular" w:eastAsia="仿宋-简" w:cs="Times New Roman Regular"/>
          <w:b w:val="0"/>
          <w:color w:val="000000"/>
          <w:sz w:val="22"/>
        </w:rPr>
        <w:t>判断对象代表或象征什么，或者行动者认同于何种集体或地方。</w:t>
      </w:r>
    </w:p>
    <w:p w14:paraId="46E93FA1">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J5可以在证据充分时进一步标记四种关系规则：J5-CS共同体共享、J5-AR权威排序、J5-EM对等匹配和J5-MP市场定价。这些子码只有在命题明确呈现相应协调规则时才能使用。例如，“信任家人”本身不足以证明共同体共享。</w:t>
      </w:r>
    </w:p>
    <w:p w14:paraId="3EBC838A">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七、S：跨命题文化结构</w:t>
      </w:r>
    </w:p>
    <w:p w14:paraId="02588F08">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S表示多个文化命题、类别、事件或表达如何组织成整体。S的编码单位不是单</w:t>
      </w:r>
      <w:r>
        <w:rPr>
          <w:rFonts w:hint="eastAsia" w:ascii="Times New Roman Regular" w:hAnsi="Times New Roman Regular" w:eastAsia="仿宋-简" w:cs="Times New Roman Regular"/>
          <w:b w:val="0"/>
          <w:color w:val="000000"/>
          <w:sz w:val="22"/>
          <w:lang w:val="en-US" w:eastAsia="zh-CN"/>
        </w:rPr>
        <w:t>一</w:t>
      </w:r>
      <w:r>
        <w:rPr>
          <w:rFonts w:hint="default" w:ascii="Times New Roman Regular" w:hAnsi="Times New Roman Regular" w:eastAsia="仿宋-简" w:cs="Times New Roman Regular"/>
          <w:b w:val="0"/>
          <w:color w:val="000000"/>
          <w:sz w:val="22"/>
        </w:rPr>
        <w:t>题目，而是题组、命题组、文本组</w:t>
      </w:r>
      <w:r>
        <w:rPr>
          <w:rFonts w:hint="eastAsia" w:ascii="Times New Roman Regular" w:hAnsi="Times New Roman Regular" w:eastAsia="仿宋-简" w:cs="Times New Roman Regular"/>
          <w:b w:val="0"/>
          <w:color w:val="000000"/>
          <w:sz w:val="22"/>
          <w:lang w:val="en-US" w:eastAsia="zh-CN"/>
        </w:rPr>
        <w:t>等</w:t>
      </w:r>
      <w:r>
        <w:rPr>
          <w:rFonts w:hint="default" w:ascii="Times New Roman Regular" w:hAnsi="Times New Roman Regular" w:eastAsia="仿宋-简" w:cs="Times New Roman Regular"/>
          <w:b w:val="0"/>
          <w:color w:val="000000"/>
          <w:sz w:val="22"/>
        </w:rPr>
        <w:t>。单题可以作为结构中的节点或指标，但原则上不能单独证明结构。</w:t>
      </w:r>
    </w:p>
    <w:p w14:paraId="14585E81">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S1 分类—边界结构。</w:t>
      </w:r>
      <w:r>
        <w:rPr>
          <w:rFonts w:hint="default" w:ascii="Times New Roman Regular" w:hAnsi="Times New Roman Regular" w:eastAsia="仿宋-简" w:cs="Times New Roman Regular"/>
          <w:b w:val="0"/>
          <w:color w:val="000000"/>
          <w:sz w:val="22"/>
        </w:rPr>
        <w:t>多个类别及其成员资格、亲疏、地位、排斥或跨界关系。最低要求是至少两个类别，并存在成员资格、价值、地位或行为后果。</w:t>
      </w:r>
    </w:p>
    <w:p w14:paraId="2EDE936C">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S2 图式。</w:t>
      </w:r>
      <w:r>
        <w:rPr>
          <w:rFonts w:hint="default" w:ascii="Times New Roman Regular" w:hAnsi="Times New Roman Regular" w:eastAsia="仿宋-简" w:cs="Times New Roman Regular"/>
          <w:b w:val="0"/>
          <w:color w:val="000000"/>
          <w:sz w:val="22"/>
        </w:rPr>
        <w:t>多个概念或命题节点构成的、相对稳定并可被线索激活的关系网络。原则上至少包含三个节点和两条理论关系，并有联合分布、条件依赖、文本关系或线索实验支持。</w:t>
      </w:r>
    </w:p>
    <w:p w14:paraId="35B19120">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S3 框架。</w:t>
      </w:r>
      <w:r>
        <w:rPr>
          <w:rFonts w:hint="default" w:ascii="Times New Roman Regular" w:hAnsi="Times New Roman Regular" w:eastAsia="仿宋-简" w:cs="Times New Roman Regular"/>
          <w:b w:val="0"/>
          <w:color w:val="000000"/>
          <w:sz w:val="22"/>
        </w:rPr>
        <w:t>通过选择和凸显信息，围绕问题、原因、道德评价和解决方案组织主张。</w:t>
      </w:r>
    </w:p>
    <w:p w14:paraId="5B5B1F98">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S4 二元代码。</w:t>
      </w:r>
      <w:r>
        <w:rPr>
          <w:rFonts w:hint="default" w:ascii="Times New Roman Regular" w:hAnsi="Times New Roman Regular" w:eastAsia="仿宋-简" w:cs="Times New Roman Regular"/>
          <w:b w:val="0"/>
          <w:color w:val="000000"/>
          <w:sz w:val="22"/>
        </w:rPr>
        <w:t>以成组对立概念构成意义语法，并把对象映射到不同端点。二选一题型本身不等于二元代码。</w:t>
      </w:r>
    </w:p>
    <w:p w14:paraId="55CE905B">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S5 叙事。</w:t>
      </w:r>
      <w:r>
        <w:rPr>
          <w:rFonts w:hint="default" w:ascii="Times New Roman Regular" w:hAnsi="Times New Roman Regular" w:eastAsia="仿宋-简" w:cs="Times New Roman Regular"/>
          <w:b w:val="0"/>
          <w:color w:val="000000"/>
          <w:sz w:val="22"/>
        </w:rPr>
        <w:t>通过行动者、时间顺序、动机、因果和情节连接组织事件。</w:t>
      </w:r>
    </w:p>
    <w:p w14:paraId="423E4D5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S6 话语场。</w:t>
      </w:r>
      <w:r>
        <w:rPr>
          <w:rFonts w:hint="default" w:ascii="Times New Roman Regular" w:hAnsi="Times New Roman Regular" w:eastAsia="仿宋-简" w:cs="Times New Roman Regular"/>
          <w:b w:val="0"/>
          <w:color w:val="000000"/>
          <w:sz w:val="22"/>
        </w:rPr>
        <w:t>围绕同一问题形成可理解、可竞争的立场、理由和表达资源。</w:t>
      </w:r>
    </w:p>
    <w:p w14:paraId="700D4D48">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S7 体裁。</w:t>
      </w:r>
      <w:r>
        <w:rPr>
          <w:rFonts w:hint="default" w:ascii="Times New Roman Regular" w:hAnsi="Times New Roman Regular" w:eastAsia="仿宋-简" w:cs="Times New Roman Regular"/>
          <w:b w:val="0"/>
          <w:color w:val="000000"/>
          <w:sz w:val="22"/>
        </w:rPr>
        <w:t>在反复交往情境中形成的表达形式、内容期待、预期受众和适当言语行动。</w:t>
      </w:r>
    </w:p>
    <w:p w14:paraId="438CEDB4">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S 允许多标签并存，但每个结构判断都必须记录节点列表、关系定义、证据类型、支持强度和竞争解释。“多道题属于同一主题”不等于存在图式；只有节点之间存在有理论和数据支持的关系时，才能编码 S2。</w:t>
      </w:r>
    </w:p>
    <w:p w14:paraId="2BD82866">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八、X：实质情境条件</w:t>
      </w:r>
    </w:p>
    <w:p w14:paraId="0B9646F1">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X 表示在保持命题、对象和判断类型基本不变时，可能使判断系统变化的实质条件。X 的理论骨架主要来自 Ostrom 的制度分析与发展框架，包括物质条件、共同体属性、实际使用的规则，以及行动、结果、控制、信息和成本收益等行动情境要素；框架进一步以公开问责、集体威胁和长期社会变迁理论作有限扩展。</w:t>
      </w:r>
    </w:p>
    <w:p w14:paraId="7D5234F9">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X1 物质与资源条件。</w:t>
      </w:r>
      <w:r>
        <w:rPr>
          <w:rFonts w:hint="default" w:ascii="Times New Roman Regular" w:hAnsi="Times New Roman Regular" w:eastAsia="仿宋-简" w:cs="Times New Roman Regular"/>
          <w:b w:val="0"/>
          <w:color w:val="000000"/>
          <w:sz w:val="22"/>
        </w:rPr>
        <w:t>工作、住房、福利、医疗、时间、公共服务或共同资源的数量、可达性和竞争性。</w:t>
      </w:r>
    </w:p>
    <w:p w14:paraId="4341A4B8">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X2 共同体属性与关系历史。</w:t>
      </w:r>
      <w:r>
        <w:rPr>
          <w:rFonts w:hint="default" w:ascii="Times New Roman Regular" w:hAnsi="Times New Roman Regular" w:eastAsia="仿宋-简" w:cs="Times New Roman Regular"/>
          <w:b w:val="0"/>
          <w:color w:val="000000"/>
          <w:sz w:val="22"/>
        </w:rPr>
        <w:t>参与者过去的帮助、伤害、照料、交换、承诺、背叛、疏离、信任和依赖。</w:t>
      </w:r>
    </w:p>
    <w:p w14:paraId="296BF959">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X3 实际使用的规则、权威与程序。</w:t>
      </w:r>
      <w:r>
        <w:rPr>
          <w:rFonts w:hint="default" w:ascii="Times New Roman Regular" w:hAnsi="Times New Roman Regular" w:eastAsia="仿宋-简" w:cs="Times New Roman Regular"/>
          <w:b w:val="0"/>
          <w:color w:val="000000"/>
          <w:sz w:val="22"/>
        </w:rPr>
        <w:t>当前情境中实际约束行动的资格、权限、决策、监督、奖惩、申诉和制裁规则。</w:t>
      </w:r>
    </w:p>
    <w:p w14:paraId="2B1576F8">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X4 可行动作与制度替代方案。</w:t>
      </w:r>
      <w:r>
        <w:rPr>
          <w:rFonts w:hint="default" w:ascii="Times New Roman Regular" w:hAnsi="Times New Roman Regular" w:eastAsia="仿宋-简" w:cs="Times New Roman Regular"/>
          <w:b w:val="0"/>
          <w:color w:val="000000"/>
          <w:sz w:val="22"/>
        </w:rPr>
        <w:t>焦点行动者能够采取的行动，以及家庭、市场、社区、国家或专业机构能够提供的替代路径。</w:t>
      </w:r>
    </w:p>
    <w:p w14:paraId="548F8DC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X5 潜在结果及需要或伤害严重性。</w:t>
      </w:r>
      <w:r>
        <w:rPr>
          <w:rFonts w:hint="default" w:ascii="Times New Roman Regular" w:hAnsi="Times New Roman Regular" w:eastAsia="仿宋-简" w:cs="Times New Roman Regular"/>
          <w:b w:val="0"/>
          <w:color w:val="000000"/>
          <w:sz w:val="22"/>
        </w:rPr>
        <w:t>不同行动可能产生的结果，对象的需要或损害有多严重，以及不行动的后果。</w:t>
      </w:r>
    </w:p>
    <w:p w14:paraId="6C48E46D">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X6 控制、意图与因果责任。</w:t>
      </w:r>
      <w:r>
        <w:rPr>
          <w:rFonts w:hint="default" w:ascii="Times New Roman Regular" w:hAnsi="Times New Roman Regular" w:eastAsia="仿宋-简" w:cs="Times New Roman Regular"/>
          <w:b w:val="0"/>
          <w:color w:val="000000"/>
          <w:sz w:val="22"/>
        </w:rPr>
        <w:t>行动者是否知情、有意、能够控制行为和结果，以及责任可以归于谁。</w:t>
      </w:r>
    </w:p>
    <w:p w14:paraId="6A82CC53">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X7 信息、时间与不确定性。</w:t>
      </w:r>
      <w:r>
        <w:rPr>
          <w:rFonts w:hint="default" w:ascii="Times New Roman Regular" w:hAnsi="Times New Roman Regular" w:eastAsia="仿宋-简" w:cs="Times New Roman Regular"/>
          <w:b w:val="0"/>
          <w:color w:val="000000"/>
          <w:sz w:val="22"/>
        </w:rPr>
        <w:t>参与者掌握的信息、事实和概率的明确程度、时间压力，以及行动能否延迟或撤回。</w:t>
      </w:r>
    </w:p>
    <w:p w14:paraId="2B4B8BD3">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X8 可见性、受众与问责。</w:t>
      </w:r>
      <w:r>
        <w:rPr>
          <w:rFonts w:hint="default" w:ascii="Times New Roman Regular" w:hAnsi="Times New Roman Regular" w:eastAsia="仿宋-简" w:cs="Times New Roman Regular"/>
          <w:b w:val="0"/>
          <w:color w:val="000000"/>
          <w:sz w:val="22"/>
        </w:rPr>
        <w:t>行动及其结果由谁观察，发生在私人还是公开场合，以及是否产生声誉评价和问责。</w:t>
      </w:r>
    </w:p>
    <w:p w14:paraId="4DE0DC2C">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X9 成本、收益与机会成本。</w:t>
      </w:r>
      <w:r>
        <w:rPr>
          <w:rFonts w:hint="default" w:ascii="Times New Roman Regular" w:hAnsi="Times New Roman Regular" w:eastAsia="仿宋-简" w:cs="Times New Roman Regular"/>
          <w:b w:val="0"/>
          <w:color w:val="000000"/>
          <w:sz w:val="22"/>
        </w:rPr>
        <w:t>不同行动造成的金钱、时间、职业、身体、声誉、奖励、制裁和机会成本。</w:t>
      </w:r>
    </w:p>
    <w:p w14:paraId="62E73B85">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X10 急性集体威胁与冲击。</w:t>
      </w:r>
      <w:r>
        <w:rPr>
          <w:rFonts w:hint="default" w:ascii="Times New Roman Regular" w:hAnsi="Times New Roman Regular" w:eastAsia="仿宋-简" w:cs="Times New Roman Regular"/>
          <w:b w:val="0"/>
          <w:color w:val="000000"/>
          <w:sz w:val="22"/>
        </w:rPr>
        <w:t>战争、灾害、暴力、恐怖主义、流行病和其他生存安全冲击。</w:t>
      </w:r>
    </w:p>
    <w:p w14:paraId="091AEE3B">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X11 迁移、跨国化与全球尺度变化。</w:t>
      </w:r>
      <w:r>
        <w:rPr>
          <w:rFonts w:hint="default" w:ascii="Times New Roman Regular" w:hAnsi="Times New Roman Regular" w:eastAsia="仿宋-简" w:cs="Times New Roman Regular"/>
          <w:b w:val="0"/>
          <w:color w:val="000000"/>
          <w:sz w:val="22"/>
        </w:rPr>
        <w:t>跨境人口、资本、制度和文化流动，以及行动者同时嵌入多个社会场域的程度。</w:t>
      </w:r>
    </w:p>
    <w:p w14:paraId="5F57A89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X12 技术与媒介基础设施变迁。</w:t>
      </w:r>
      <w:r>
        <w:rPr>
          <w:rFonts w:hint="default" w:ascii="Times New Roman Regular" w:hAnsi="Times New Roman Regular" w:eastAsia="仿宋-简" w:cs="Times New Roman Regular"/>
          <w:b w:val="0"/>
          <w:color w:val="000000"/>
          <w:sz w:val="22"/>
        </w:rPr>
        <w:t>新技术、网络和媒介基础设施对信息传播、社会连接、组织形式、可见性和行动选择的改变。</w:t>
      </w:r>
    </w:p>
    <w:p w14:paraId="74CDF820">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color w:val="000000"/>
          <w:sz w:val="22"/>
        </w:rPr>
        <w:t>X13 历史时机、出生队列与代际更替。</w:t>
      </w:r>
      <w:r>
        <w:rPr>
          <w:rFonts w:hint="default" w:ascii="Times New Roman Regular" w:hAnsi="Times New Roman Regular" w:eastAsia="仿宋-简" w:cs="Times New Roman Regular"/>
          <w:b w:val="0"/>
          <w:color w:val="000000"/>
          <w:sz w:val="22"/>
        </w:rPr>
        <w:t>共同历史经历、出生队列和代际替换对文化分布的影响。个人年龄或调查年份本身只是元数据。</w:t>
      </w:r>
    </w:p>
    <w:p w14:paraId="1B5663F6">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X 不能根据研究者的常识自动补入原始命题。只有题干、文本或研究设计明确提供某项实质条件时，才能编码相应 X。国家、地区、调查波次、受访者背景、题干措辞、语言、量尺、模型版本、提示和解码参数属于样本或测量元数据，不属于 X。</w:t>
      </w:r>
    </w:p>
    <w:p w14:paraId="15D318E2">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九、各层之间的关系</w:t>
      </w:r>
    </w:p>
    <w:p w14:paraId="1BE35AB5">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D、A 和 J 构成</w:t>
      </w:r>
      <w:r>
        <w:rPr>
          <w:rFonts w:hint="eastAsia" w:ascii="Times New Roman Regular" w:hAnsi="Times New Roman Regular" w:eastAsia="仿宋-简" w:cs="Times New Roman Regular"/>
          <w:b w:val="0"/>
          <w:color w:val="000000"/>
          <w:sz w:val="22"/>
          <w:lang w:val="en-US" w:eastAsia="zh-CN"/>
        </w:rPr>
        <w:t>单一</w:t>
      </w:r>
      <w:r>
        <w:rPr>
          <w:rFonts w:hint="default" w:ascii="Times New Roman Regular" w:hAnsi="Times New Roman Regular" w:eastAsia="仿宋-简" w:cs="Times New Roman Regular"/>
          <w:b w:val="0"/>
          <w:color w:val="000000"/>
          <w:sz w:val="22"/>
        </w:rPr>
        <w:t>命题的基本语义骨架：在某个场域中，对某个对象作出某种判断。C 表示这一判断可能体现的价值方向</w:t>
      </w:r>
      <w:r>
        <w:rPr>
          <w:rFonts w:hint="eastAsia" w:ascii="Times New Roman Regular" w:hAnsi="Times New Roman Regular" w:eastAsia="仿宋-简" w:cs="Times New Roman Regular"/>
          <w:b w:val="0"/>
          <w:color w:val="000000"/>
          <w:sz w:val="22"/>
          <w:lang w:eastAsia="zh-CN"/>
        </w:rPr>
        <w:t>，</w:t>
      </w:r>
      <w:r>
        <w:rPr>
          <w:rFonts w:hint="default" w:ascii="Times New Roman Regular" w:hAnsi="Times New Roman Regular" w:eastAsia="仿宋-简" w:cs="Times New Roman Regular"/>
          <w:b w:val="0"/>
          <w:color w:val="000000"/>
          <w:sz w:val="22"/>
        </w:rPr>
        <w:t>X 表示命题成立或变化的实质条件</w:t>
      </w:r>
      <w:r>
        <w:rPr>
          <w:rFonts w:hint="eastAsia" w:ascii="Times New Roman Regular" w:hAnsi="Times New Roman Regular" w:eastAsia="仿宋-简" w:cs="Times New Roman Regular"/>
          <w:b w:val="0"/>
          <w:color w:val="000000"/>
          <w:sz w:val="22"/>
          <w:lang w:eastAsia="zh-CN"/>
        </w:rPr>
        <w:t>，</w:t>
      </w:r>
      <w:r>
        <w:rPr>
          <w:rFonts w:hint="default" w:ascii="Times New Roman Regular" w:hAnsi="Times New Roman Regular" w:eastAsia="仿宋-简" w:cs="Times New Roman Regular"/>
          <w:b w:val="0"/>
          <w:color w:val="000000"/>
          <w:sz w:val="22"/>
        </w:rPr>
        <w:t>S 位于更高层次，用于分析多个命题之间的结构。</w:t>
      </w:r>
    </w:p>
    <w:p w14:paraId="5569B4AB">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十、编码实例</w:t>
      </w:r>
    </w:p>
    <w:p w14:paraId="20B97556">
      <w:pPr>
        <w:pStyle w:val="4"/>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性别化政治领导判断</w:t>
      </w:r>
    </w:p>
    <w:p w14:paraId="1714EE08">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命题为“男性总体上比女性更适合担任政治领导者”。该命题的 C 为 C2 平等—等级，D 为 D4 国家、政治与法律，A 包含 A1 性别化类别和 A12 政治领导角色，J 为 J3 评价与排序。单题本身不构成跨命题结构，因此 S 不适用；原题没有给出可变化的实质情境，因此 X 不适用。</w:t>
      </w:r>
    </w:p>
    <w:p w14:paraId="14D0329A">
      <w:pPr>
        <w:pStyle w:val="4"/>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关系信任题组</w:t>
      </w:r>
    </w:p>
    <w:p w14:paraId="348D709D">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WVS Q58—Q61 分别询问对家人、邻居、熟人和初次见面者的信任。单题的 D 为 D2 社区与社会交往，A 为 A11 关系距离对象，J 为 J5 信任关系判断。原题只改变关系对象，没有明确表达价值方向，因此 C 不适用；原题也没有提供既往互动、行为公开性等实质情境，因此 X 不适用。</w:t>
      </w:r>
    </w:p>
    <w:p w14:paraId="57B8CD2E">
      <w:pPr>
        <w:spacing w:line="360" w:lineRule="auto"/>
        <w:ind w:firstLine="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四道题联合起来可以形成 S1 关系边界和 S2 关系信任图式的候选结构。</w:t>
      </w:r>
    </w:p>
    <w:p w14:paraId="5826FD95">
      <w:pPr>
        <w:pStyle w:val="3"/>
        <w:keepNext/>
        <w:spacing w:line="360" w:lineRule="auto"/>
        <w:rPr>
          <w:rFonts w:hint="default" w:ascii="Times New Roman Regular" w:hAnsi="Times New Roman Regular" w:eastAsia="仿宋-简" w:cs="Times New Roman Regular"/>
        </w:rPr>
      </w:pPr>
      <w:r>
        <w:rPr>
          <w:rFonts w:hint="default" w:ascii="Times New Roman Regular" w:hAnsi="Times New Roman Regular" w:eastAsia="仿宋-简" w:cs="Times New Roman Regular"/>
        </w:rPr>
        <w:t>十</w:t>
      </w:r>
      <w:r>
        <w:rPr>
          <w:rFonts w:hint="eastAsia" w:ascii="Times New Roman Regular" w:hAnsi="Times New Roman Regular" w:eastAsia="仿宋-简" w:cs="Times New Roman Regular"/>
          <w:lang w:val="en-US" w:eastAsia="zh-CN"/>
        </w:rPr>
        <w:t>一</w:t>
      </w:r>
      <w:r>
        <w:rPr>
          <w:rFonts w:hint="default" w:ascii="Times New Roman Regular" w:hAnsi="Times New Roman Regular" w:eastAsia="仿宋-简" w:cs="Times New Roman Regular"/>
        </w:rPr>
        <w:t>、主要理论来源</w:t>
      </w:r>
    </w:p>
    <w:p w14:paraId="1E9884B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1. Schwartz, Shalom H. 2006. A Theory of Cultural Value Orientations. Comparative Sociology, 5(2-3): 137-182. https://doi.org/10.1163/156913306778667357</w:t>
      </w:r>
    </w:p>
    <w:p w14:paraId="396F2271">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2. Griswold, Wendy. 2013. Cultures and Societies in a Changing World, 4th ed. SAGE.</w:t>
      </w:r>
    </w:p>
    <w:p w14:paraId="0E3FA94E">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3. Spillman, Lyn. 2020. What Is Cultural Sociology? Polity.</w:t>
      </w:r>
    </w:p>
    <w:p w14:paraId="261B5E37">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4. Fiske, Alan Page. 1992. The Four Elementary Forms of Sociality. Psychological Review, 99(4): 689-723. https://doi.org/10.1037/0033-295X.99.4.689</w:t>
      </w:r>
    </w:p>
    <w:p w14:paraId="6EB1E07D">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5. Ostrom, Elinor. 2005. Understanding Institutional Diversity. Princeton University Press.</w:t>
      </w:r>
    </w:p>
    <w:p w14:paraId="460089B4">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6. Ostrom, Elinor. 2011. Background on the Institutional Analysis and Development Framework. Policy Studies Journal, 39(1): 7-27. https://doi.org/10.1111/j.1541-0072.2010.00394.x</w:t>
      </w:r>
    </w:p>
    <w:p w14:paraId="6252884F">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7. Hunzaker, M. B. Fallin, and Lauren Valentino. 2019. Mapping Cultural Schemas. American Sociological Review, 84(5): 950-981. https://doi.org/10.1177/0003122419875638</w:t>
      </w:r>
    </w:p>
    <w:p w14:paraId="2E46189E">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8. Gelfand, Michele J., et al. 2011. Differences Between Tight and Loose Cultures: A 33-Nation Study. Science, 332(6033): 1100-1104. https://doi.org/10.1126/science.1197754</w:t>
      </w:r>
    </w:p>
    <w:p w14:paraId="6BD364FC">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9. Malle, Bertram F., Steve Guglielmo, and Andrew E. Monroe. 2014. A Theory of Blame. Psychological Inquiry, 25(2): 147-186. https://doi.org/10.1080/1047840X.2014.877340</w:t>
      </w:r>
    </w:p>
    <w:p w14:paraId="64705B63">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10. Levitt, Peggy, and Nina Glick Schiller. 2004. Conceptualizing Simultaneity: A Transnational Social Field Perspective on Society. International Migration Review, 38(3): 1002-1039. https://doi.org/10.1111/j.1747-7379.2004.tb00227.x</w:t>
      </w:r>
    </w:p>
    <w:p w14:paraId="54FA4360">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11. Castells, Manuel. 2010. The Rise of the Network Society, 2nd ed. Wiley-Blackwell. https://doi.org/10.1002/9781444319514</w:t>
      </w:r>
    </w:p>
    <w:p w14:paraId="1613DF93">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12. Inglehart, Ronald F. 2018. Cultural Evolution. Cambridge University Press. https://doi.org/10.1017/9781108613880</w:t>
      </w:r>
    </w:p>
    <w:p w14:paraId="5824CF9E">
      <w:pPr>
        <w:spacing w:line="360" w:lineRule="auto"/>
        <w:ind w:left="420" w:hanging="420"/>
        <w:rPr>
          <w:rFonts w:hint="default" w:ascii="Times New Roman Regular" w:hAnsi="Times New Roman Regular" w:eastAsia="仿宋-简" w:cs="Times New Roman Regular"/>
        </w:rPr>
      </w:pPr>
      <w:r>
        <w:rPr>
          <w:rFonts w:hint="default" w:ascii="Times New Roman Regular" w:hAnsi="Times New Roman Regular" w:eastAsia="仿宋-简" w:cs="Times New Roman Regular"/>
          <w:b w:val="0"/>
          <w:color w:val="000000"/>
          <w:sz w:val="22"/>
        </w:rPr>
        <w:t>13. 胡安宁，2020，《社会学视野下的文化传承：实践—认知图式导向的分析框架》，《中国社会科学》第5期，第135-155页。</w:t>
      </w:r>
    </w:p>
    <w:p w14:paraId="5EE5DA30">
      <w:pPr>
        <w:spacing w:line="360" w:lineRule="auto"/>
        <w:ind w:left="420" w:hanging="420"/>
        <w:rPr>
          <w:rFonts w:hint="eastAsia" w:ascii="仿宋-简" w:hAnsi="仿宋-简" w:eastAsia="仿宋-简" w:cs="仿宋-简"/>
        </w:rPr>
      </w:pPr>
      <w:r>
        <w:rPr>
          <w:rFonts w:hint="default" w:ascii="Times New Roman Regular" w:hAnsi="Times New Roman Regular" w:eastAsia="仿宋-简" w:cs="Times New Roman Regular"/>
          <w:b w:val="0"/>
          <w:color w:val="000000"/>
          <w:sz w:val="22"/>
        </w:rPr>
        <w:t>14. World Values Survey Association. World Values Survey Wave 7: Master Questionnaire and Cross-National Data. ht</w:t>
      </w:r>
      <w:r>
        <w:rPr>
          <w:rFonts w:hint="eastAsia" w:ascii="仿宋-简" w:hAnsi="仿宋-简" w:eastAsia="仿宋-简" w:cs="仿宋-简"/>
          <w:b w:val="0"/>
          <w:color w:val="000000"/>
          <w:sz w:val="22"/>
        </w:rPr>
        <w:t>tps://doi.org/10.14281/18241.20</w:t>
      </w:r>
    </w:p>
    <w:sectPr>
      <w:pgSz w:w="11906" w:h="16838"/>
      <w:pgMar w:top="1440" w:right="1440" w:bottom="1440" w:left="1440"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FangSong_GB2312">
    <w:panose1 w:val="02010609030101010101"/>
    <w:charset w:val="86"/>
    <w:family w:val="auto"/>
    <w:pitch w:val="default"/>
    <w:sig w:usb0="00000001" w:usb1="080E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EF62E1"/>
    <w:multiLevelType w:val="singleLevel"/>
    <w:tmpl w:val="BBEF62E1"/>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AF5CA4"/>
    <w:rsid w:val="78FF5AE5"/>
    <w:rsid w:val="F6D718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FangSong_GB2312" w:hAnsi="FangSong_GB2312" w:eastAsia="FangSong_GB2312" w:cs="FangSong_GB2312"/>
      <w:color w:val="000000"/>
      <w:sz w:val="22"/>
      <w:szCs w:val="22"/>
      <w:lang w:val="en-US" w:eastAsia="en-US" w:bidi="ar-SA"/>
    </w:rPr>
  </w:style>
  <w:style w:type="paragraph" w:styleId="3">
    <w:name w:val="heading 1"/>
    <w:basedOn w:val="1"/>
    <w:next w:val="1"/>
    <w:link w:val="138"/>
    <w:qFormat/>
    <w:uiPriority w:val="9"/>
    <w:pPr>
      <w:keepNext/>
      <w:keepLines/>
      <w:spacing w:before="240" w:after="120" w:line="276"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160" w:after="80" w:line="276"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360" w:line="24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22</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曹劼</dc:creator>
  <dc:description>generated by python-docx</dc:description>
  <cp:keywords>文化知识建模, 文化图式, WVS, 大语言模型测评</cp:keywords>
  <cp:lastModifiedBy>曹劼</cp:lastModifiedBy>
  <dcterms:modified xsi:type="dcterms:W3CDTF">2026-08-24T20:00:50Z</dcterms:modified>
  <dc:subject>国家文化知识建模框架的理论结构与编码说明</dc:subject>
  <dc:title>国家文化知识建模核心框架说明文档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04B7FE5253E259AFEF2F8C6A06BF4656_42</vt:lpwstr>
  </property>
</Properties>
</file>