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640" w:before="0" w:line="240" w:lineRule="auto"/>
        <w:rPr/>
      </w:pPr>
      <w:r>
        <w:rPr>
          <w:rtl w:val="0"/>
        </w:rPr>
      </w:r>
    </w:p>
    <w:tbl>
      <w:tblPr>
        <w:tblStyle w:val="Table1"/>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900"/>
        <w:gridCol w:w="7020"/>
        <w:tblGridChange w:id="0">
          <w:tblGrid>
            <w:gridCol w:w="2160"/>
            <w:gridCol w:w="900"/>
            <w:gridCol w:w="7020"/>
          </w:tblGrid>
        </w:tblGridChange>
      </w:tblGrid>
      <w:tr>
        <w:trPr>
          <w:cantSplit w:val="0"/>
          <w:tblHeader w:val="0"/>
        </w:trPr>
        <w:tc>
          <w:tcPr>
            <w:tcMar>
              <w:top w:w="110.0" w:type="dxa"/>
              <w:bottom w:w="0.0" w:type="dxa"/>
            </w:tcMar>
            <w:vAlign w:val="top"/>
          </w:tcPr>
          <w:p w14:paraId="00000002">
            <w:pPr>
              <w:spacing w:after="340" w:before="0" w:line="276" w:lineRule="auto"/>
              <w:rPr>
                <w:sz w:val="18"/>
                <w:szCs w:val="18"/>
              </w:rPr>
            </w:pPr>
            <w:r>
              <w:rPr>
                <w:rFonts w:ascii="Arial" w:cs="Arial" w:eastAsia="Arial" w:hAnsi="Arial"/>
                <w:b w:val="0"/>
                <w:bCs w:val="0"/>
                <w:i w:val="0"/>
                <w:iCs w:val="0"/>
                <w:color w:val="000000"/>
                <w:sz w:val="18"/>
                <w:szCs w:val="18"/>
                <w:rtl w:val="0"/>
              </w:rPr>
              <w:t xml:space="preserve"/>
            </w:r>
            <w:r>
              <w:rPr>
                <w:rtl w:val="0"/>
              </w:rPr>
            </w:r>
          </w:p>
          <w:p w14:paraId="00000003">
            <w:pPr>
              <w:spacing w:after="0" w:before="0" w:line="276" w:lineRule="auto"/>
              <w:rPr>
                <w:sz w:val="18"/>
                <w:szCs w:val="18"/>
              </w:rPr>
            </w:pPr>
            <w:r>
              <w:rPr>
                <w:rFonts w:ascii="Arial" w:cs="Arial" w:eastAsia="Arial" w:hAnsi="Arial"/>
                <w:b w:val="1"/>
                <w:bCs w:val="1"/>
                <w:i w:val="0"/>
                <w:iCs w:val="0"/>
                <w:color w:val="000000"/>
                <w:sz w:val="18"/>
                <w:szCs w:val="18"/>
                <w:rtl w:val="0"/>
              </w:rPr>
              <w:t xml:space="preserve">From:</w:t>
            </w:r>
            <w:r>
              <w:rPr>
                <w:rtl w:val="0"/>
              </w:rPr>
            </w:r>
          </w:p>
          <w:p w14:paraId="00000004">
            <w:pPr>
              <w:spacing w:after="0" w:before="0" w:line="276" w:lineRule="auto"/>
              <w:rPr>
                <w:sz w:val="18"/>
                <w:szCs w:val="18"/>
              </w:rPr>
            </w:pPr>
            <w:r>
              <w:rPr>
                <w:rFonts w:ascii="Arial" w:cs="Arial" w:eastAsia="Arial" w:hAnsi="Arial"/>
                <w:b w:val="0"/>
                <w:bCs w:val="0"/>
                <w:i w:val="0"/>
                <w:iCs w:val="0"/>
                <w:color w:val="000000"/>
                <w:sz w:val="18"/>
                <w:szCs w:val="18"/>
                <w:rtl w:val="0"/>
              </w:rPr>
              <w:t xml:space="preserve">Anonymous reviewer</w:t>
            </w:r>
            <w:r>
              <w:rPr>
                <w:rtl w:val="0"/>
              </w:rPr>
            </w:r>
          </w:p>
          <w:p w14:paraId="00000005">
            <w:pPr>
              <w:spacing w:after="0" w:before="0" w:line="276" w:lineRule="auto"/>
              <w:rPr>
                <w:sz w:val="18"/>
                <w:szCs w:val="18"/>
              </w:rPr>
            </w:pPr>
            <w:r>
              <w:rPr>
                <w:rFonts w:ascii="Arial" w:cs="Arial" w:eastAsia="Arial" w:hAnsi="Arial"/>
                <w:b w:val="0"/>
                <w:bCs w:val="0"/>
                <w:i w:val="0"/>
                <w:iCs w:val="0"/>
                <w:color w:val="000000"/>
                <w:sz w:val="18"/>
                <w:szCs w:val="18"/>
                <w:rtl w:val="0"/>
              </w:rPr>
              <w:t xml:space="preserve">Full Professor</w:t>
            </w:r>
            <w:r>
              <w:rPr>
                <w:rtl w:val="0"/>
              </w:rPr>
            </w:r>
          </w:p>
          <w:p w14:paraId="00000006">
            <w:pPr>
              <w:spacing w:after="260" w:before="0" w:line="276" w:lineRule="auto"/>
              <w:rPr>
                <w:sz w:val="18"/>
                <w:szCs w:val="18"/>
              </w:rPr>
            </w:pPr>
            <w:r>
              <w:rPr>
                <w:rFonts w:ascii="Arial" w:cs="Arial" w:eastAsia="Arial" w:hAnsi="Arial"/>
                <w:b w:val="0"/>
                <w:bCs w:val="0"/>
                <w:i w:val="0"/>
                <w:iCs w:val="0"/>
                <w:color w:val="000000"/>
                <w:sz w:val="18"/>
                <w:szCs w:val="18"/>
                <w:rtl w:val="0"/>
              </w:rPr>
              <w:t xml:space="preserve"/>
            </w:r>
            <w:r>
              <w:rPr>
                <w:sz w:val="18"/>
                <w:szCs w:val="18"/>
                <w:rtl w:val="0"/>
              </w:rPr>
              <w:t xml:space="preserve"/>
            </w:r>
            <w:r>
              <w:rPr>
                <w:rFonts w:ascii="Arial" w:cs="Arial" w:eastAsia="Arial" w:hAnsi="Arial"/>
                <w:b w:val="0"/>
                <w:bCs w:val="0"/>
                <w:i w:val="0"/>
                <w:iCs w:val="0"/>
                <w:color w:val="000000"/>
                <w:sz w:val="18"/>
                <w:szCs w:val="18"/>
                <w:rtl w:val="0"/>
              </w:rPr>
              <w:t xml:space="preserve"/>
            </w:r>
            <w:r>
              <w:rPr>
                <w:rtl w:val="0"/>
              </w:rPr>
            </w:r>
          </w:p>
          <w:p w14:paraId="00000007">
            <w:pPr>
              <w:spacing w:after="0" w:before="0" w:line="276" w:lineRule="auto"/>
              <w:rPr>
                <w:sz w:val="18"/>
                <w:szCs w:val="18"/>
              </w:rPr>
            </w:pPr>
            <w:r>
              <w:rPr>
                <w:rFonts w:ascii="Arial" w:cs="Arial" w:eastAsia="Arial" w:hAnsi="Arial"/>
                <w:b w:val="1"/>
                <w:bCs w:val="1"/>
                <w:i w:val="0"/>
                <w:iCs w:val="0"/>
                <w:color w:val="000000"/>
                <w:sz w:val="18"/>
                <w:szCs w:val="18"/>
                <w:rtl w:val="0"/>
              </w:rPr>
              <w:t xml:space="preserve">To:</w:t>
            </w:r>
            <w:r>
              <w:rPr>
                <w:rtl w:val="0"/>
              </w:rPr>
            </w:r>
          </w:p>
          <w:p w14:paraId="00000008">
            <w:pPr>
              <w:spacing w:after="0" w:before="0" w:line="276" w:lineRule="auto"/>
              <w:rPr>
                <w:sz w:val="18"/>
                <w:szCs w:val="18"/>
              </w:rPr>
            </w:pPr>
            <w:r>
              <w:rPr>
                <w:rFonts w:ascii="Arial" w:cs="Arial" w:eastAsia="Arial" w:hAnsi="Arial"/>
                <w:b w:val="0"/>
                <w:bCs w:val="0"/>
                <w:i w:val="0"/>
                <w:iCs w:val="0"/>
                <w:color w:val="000000"/>
                <w:sz w:val="18"/>
                <w:szCs w:val="18"/>
                <w:rtl w:val="0"/>
              </w:rPr>
              <w:t xml:space="preserve">Promotion Committee</w:t>
            </w:r>
            <w:r>
              <w:rPr>
                <w:rtl w:val="0"/>
              </w:rPr>
            </w:r>
          </w:p>
          <w:p w14:paraId="00000009">
            <w:pPr>
              <w:spacing w:after="0" w:before="0" w:line="276" w:lineRule="auto"/>
              <w:rPr>
                <w:sz w:val="18"/>
                <w:szCs w:val="18"/>
              </w:rPr>
            </w:pPr>
            <w:r>
              <w:rPr>
                <w:rFonts w:ascii="Arial" w:cs="Arial" w:eastAsia="Arial" w:hAnsi="Arial"/>
                <w:b w:val="0"/>
                <w:bCs w:val="0"/>
                <w:i w:val="0"/>
                <w:iCs w:val="0"/>
                <w:color w:val="000000"/>
                <w:sz w:val="18"/>
                <w:szCs w:val="18"/>
                <w:rtl w:val="0"/>
              </w:rPr>
              <w:t xml:space="preserve">Department of Physics</w:t>
            </w:r>
            <w:r>
              <w:rPr>
                <w:rtl w:val="0"/>
              </w:rPr>
            </w:r>
          </w:p>
          <w:p w14:paraId="0000000A">
            <w:pPr>
              <w:spacing w:after="0" w:before="0" w:line="276" w:lineRule="auto"/>
              <w:rPr>
                <w:sz w:val="18"/>
                <w:szCs w:val="18"/>
              </w:rPr>
            </w:pPr>
            <w:r>
              <w:rPr>
                <w:rFonts w:ascii="Arial" w:cs="Arial" w:eastAsia="Arial" w:hAnsi="Arial"/>
                <w:b w:val="0"/>
                <w:bCs w:val="0"/>
                <w:i w:val="0"/>
                <w:iCs w:val="0"/>
                <w:color w:val="000000"/>
                <w:sz w:val="18"/>
                <w:szCs w:val="18"/>
                <w:rtl w:val="0"/>
              </w:rPr>
              <w:t xml:space="preserve">UMBC</w:t>
            </w:r>
            <w:r>
              <w:rPr>
                <w:sz w:val="18"/>
                <w:szCs w:val="18"/>
                <w:rtl w:val="0"/>
              </w:rPr>
              <w:t xml:space="preserve"/>
            </w:r>
            <w:r>
              <w:rPr>
                <w:rFonts w:ascii="Arial" w:cs="Arial" w:eastAsia="Arial" w:hAnsi="Arial"/>
                <w:b w:val="0"/>
                <w:bCs w:val="0"/>
                <w:i w:val="0"/>
                <w:iCs w:val="0"/>
                <w:color w:val="000000"/>
                <w:sz w:val="18"/>
                <w:szCs w:val="18"/>
                <w:rtl w:val="0"/>
              </w:rPr>
              <w:t xml:space="preserve"/>
            </w:r>
            <w:r>
              <w:rPr>
                <w:rtl w:val="0"/>
              </w:rPr>
            </w:r>
          </w:p>
        </w:tc>
        <w:tc>
          <w:tcPr>
            <w:tcMar>
              <w:top w:w="110.0" w:type="dxa"/>
              <w:bottom w:w="0.0" w:type="dxa"/>
            </w:tcMar>
            <w:vAlign w:val="top"/>
          </w:tcPr>
          <w:p w14:paraId="0000000B">
            <w:pPr>
              <w:rPr/>
            </w:pPr>
            <w:r>
              <w:rPr>
                <w:rtl w:val="0"/>
              </w:rPr>
            </w:r>
          </w:p>
        </w:tc>
        <w:tc>
          <w:tcPr>
            <w:tcMar>
              <w:top w:w="110.0" w:type="dxa"/>
              <w:bottom w:w="0.0" w:type="dxa"/>
            </w:tcMar>
            <w:vAlign w:val="top"/>
          </w:tcPr>
          <w:p w14:paraId="0000000C">
            <w:pPr>
              <w:spacing w:after="280" w:before="0" w:line="276" w:lineRule="auto"/>
              <w:rPr/>
            </w:pPr>
            <w:r>
              <w:rPr>
                <w:rFonts w:ascii="Arial" w:cs="Arial" w:eastAsia="Arial" w:hAnsi="Arial"/>
                <w:b w:val="0"/>
                <w:bCs w:val="0"/>
                <w:i w:val="0"/>
                <w:iCs w:val="0"/>
                <w:color w:val="000000"/>
                <w:sz w:val="20"/>
                <w:szCs w:val="20"/>
                <w:rtl w:val="0"/>
              </w:rPr>
              <w:t xml:space="preserve">Dear Members of the Promotion Committee,</w:t>
            </w:r>
            <w:r>
              <w:rPr>
                <w:rtl w:val="0"/>
              </w:rPr>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I recommend Dr. Zhibo Zhang for promotion to Professor in the Department of Physics at the University of Maryland, Baltimore County. I write as an external evaluator who has not collaborated with him. My assessment rests on his submitted CV, self-assessment, selected publications, syllabi, and student evaluations. I give greatest weight to his research, which demonstrates sustained intellectual leadership in atmospheric remote sensing and aerosol-cloud-radiation interactions. His teaching, mentoring, and service strengthen an already persuasive research case.</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The defining strength of Dr. Zhang's scholarship is its coherence. His ACROS group connects the physics of light scattering and radiative transfer to the interpretation of satellite measurements and the evaluation of climate models. Across these applications, he asks how unresolved cloud structure and imperfect observational assumptions affect conclusions about the atmosphere. This is consequential work: an apparent change in cloud microphysics, or an apparent model deficiency, can be misinterpreted unless the measurement process itself is understood. The submitted papers show that he contributes both the physical explanation and practical methods for addressing these problems.</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His 2016 Journal of Geophysical Research paper on the two-dimensional Taylor-expansion framework is a particularly clear example of original methodological scholarship. It treats cloud optical thickness and droplet effective radius as jointly determined by two reflectance measurements, retaining the variance and covariance terms that simpler treatments omit. This explains how variability in one spectral band can influence both retrieved properties. The 2018 Werner et al. reprint then tests this framework against high-resolution ASTER observations of 48 marine cloud scenes. Together, these studies move from a mathematical explanation to observational evaluation. Their scope is also carefully defined: the framework quantifies effects of unresolved reflectance variability; it does not by itself explain all three-dimensional photon-transport effects.</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The polarimetric studies extend this research program in a productive direction. Miller et al. (2016) use a large-eddy-simulation retrieval framework to show why assumptions about vertical cloud structure affect liquid-water-path estimates differently across cloud regimes. Miller et al. (2018) compare bispectral and polarimetric retrievals in a controlled simulator, helping separate differences in physical sensitivity from instrument-dependent complications. Rajapakshe and Zhang (2020) subsequently investigate the feasibility of using polarimetric observations to detect and quantify three-dimensional radiative effects. I regard this sequence as evidence of a durable research program that develops tools, identifies their limitations, and trains students to pursue increasingly demanding questions. The documented PACE-related support gives these methods a clear prospective application to satellite observations.</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Dr. Zhang's work on above-cloud aerosols adds physical and climatic significance to this methodological foundation. His first-authored 2016 Atmospheric Chemistry and Physics paper combines eight years of CALIOP and MODIS observations to estimate shortwave direct radiative effects over global oceans, showing substantial regional differences that can cancel in a global average. Rajapakshe et al. (2017) use CATS lidar observations to find smoke layers closer to underlying southeast Atlantic clouds than earlier CALIPSO-based estimates suggested. This finding provides a stronger observational basis for investigating aerosol entrainment and cloud microphysical effects; proximity alone does not establish the magnitude of those effects.</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The collaborative 2018 PNAS paper by Lu et al. develops that question through modeling constrained by satellite observations. It finds that smoke-induced cloud brightening can outweigh direct and semidirect effects for the heavily affected region and period studied. This is a substantive contribution to understanding why absorbing aerosol need not produce a net warming response in a cloudy environment. The paper's author-contribution statement identifies Dr. Zhang as participating in research design, research execution, and data analysis, supporting a substantial role without attributing the entire result to him. The related Song et al. (2018) dust study also examines the full radiative balance: in its tropical North Atlantic analysis, longwave warming offsets about 30 percent of shortwave cooling. These results demonstrate the value of treating aerosol effects as a coupled physical problem.</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His climate-model research is equally well connected to the central questions of his program. Song et al. (2018, Journal of Climate) diagnose excessive drizzle and overly thin clouds in CAM5 simulations, including the CLUBB configuration. The companion Geoscientific Model Development study shows that neglecting subgrid variability in an observation simulator can itself distort a model evaluation. Zhang et al. (2019) then use MODIS observations to demonstrate that warm-rain parameterizations must account for variations in droplet number as well as cloud water and their covariation. I find this progression especially persuasive because it links diagnosis to a physically motivated route for improvement, while recognizing uncertainty in both models and observations.</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The scale and continuity of the program reinforce this assessment. The self-assessment reports more than 65 scholarly outputs, including journal articles, chapters, and refereed proceedings, with 34 after tenure in 2016. The dossier reports more than $6 million in external support to UMBC across projects on which he served as PI or co-investigator, from NASA, DOE, and NSF. This is institutional project support, not an amount attributable solely to his individual effort. His NASA early-career award and International Radiation Commission Young Scientist Award provide additional evidence of recognition. More compelling than any single metric is the combination of first-authored contributions, student- and postdoc-led papers, sustained funding, and a recognizable scientific agenda that continued to develop after tenure.</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In teaching, Dr. Zhang contributes across undergraduate computational physics and mechanics and graduate atmospheric physics and radiative transfer. The syllabi connect numerical methods to concrete physical problems and place substantial weight on projects. His account of PHYS 220 describes deliberate adjustments for students with differing preparation in programming and physics, including in-class exercises and an emphasis on concepts. His description of the spring 2020 mechanics course also documents considerable effort to provide live derivations, recorded lectures, and accessible notes during the transition to remote instruction.</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The student evaluations support a positive but qualified judgment. Graduate-course results are strong; for example, PHYS 621 in fall 2017 received an Overall category score of 4.75 out of 5, with four respondents. Such small classes warrant caution. PHYS 220 results are more mixed: its Overall category scores rose from 3.91 in spring 2017 to 3.96 in 2018 and 4.20 in 2019, but remained below the organizational comparison means in those reports. I would therefore not characterize all of his teaching as uniformly above average. Rather, the evidence supports an engaged instructor with strong graduate teaching and a credible commitment to improving a demanding undergraduate course.</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Research mentoring is a further strength. The dossier records primary supervision of five doctoral students, including two completed doctorates, two completed master's students, and three postdoctoral researchers. Student-led reprints make the connection between supervision and scholarly development concrete. Daniel Miller's NASA fellowship and subsequent NASA postdoctoral appointment, and Qianqian Song's FINESST fellowship, are meaningful indicators of their development. Dr. Zhang's account of moving toward greater student independence is consistent with these research outputs. His participation in the interdisciplinary CyberTraining program, reaching approximately 50 graduate students, broadens that educational contribution.</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His service shows sustained responsibility for academic programs and the profession. As Atmospheric Physics Graduate Program Director from 2014 to 2019, he coordinated revisions to course progression, qualifying examinations, and graduation requirements. His self-assessment reports growth in program enrollment from 11 to 20 students during that period. This is encouraging context for his leadership, although the increase cannot be attributed to one person alone. His search-committee leadership, academic role at JCET, fellowship coordination, and seminar organization further demonstrate a willingness to maintain and improve the institutions on which research and teaching depend.</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Beyond UMBC, the record includes associate editorships at Advances in Atmospheric Sciences and Remote Sensing of Environment, proposal reviewing for federal agencies, conference-session organization, and the presidency of the Chinese-American Oceanic and Atmospheric Association. These activities indicate professional trust and a capacity to contribute beyond his own laboratory. Taken together with his institutional work, they support the expectation that a full professor will help shape both an academic program and a wider scholarly community.</w:t>
            </w:r>
          </w:p>
          <w:p>
            <w:pPr>
              <w:spacing w:after="280" w:before="0" w:line="288" w:lineRule="auto"/>
              <w:rPr>
                <w:rFonts w:ascii="Arial" w:cs="Arial" w:eastAsia="Arial" w:hAnsi="Arial"/>
                <w:b w:val="0"/>
                <w:bCs w:val="0"/>
                <w:i w:val="0"/>
                <w:iCs w:val="0"/>
                <w:color w:val="000000"/>
                <w:sz w:val="20"/>
                <w:szCs w:val="20"/>
              </w:rPr>
            </w:pPr>
            <w:r>
              <w:rPr>
                <w:rFonts w:ascii="Arial" w:cs="Arial" w:eastAsia="Arial" w:hAnsi="Arial"/>
                <w:b w:val="0"/>
                <w:bCs w:val="0"/>
                <w:i w:val="0"/>
                <w:iCs w:val="0"/>
                <w:color w:val="000000"/>
                <w:sz w:val="20"/>
                <w:szCs w:val="20"/>
                <w:rtl w:val="0"/>
              </w:rPr>
              <w:t xml:space="preserve">In my judgment, Dr. Zhang has established the sustained, independent, and influential research program that should carry the greatest weight in this promotion. His publication record is supported by identifiable methodological contributions, substantive applications, external support, and the development of younger researchers. His teaching record is credible and reflective, and his service includes substantial leadership. On the evidence presented, I strongly support his promotion to Professor.</w:t>
            </w:r>
          </w:p>
          <w:p w14:paraId="0000000F">
            <w:pPr>
              <w:spacing w:after="280" w:line="288" w:lineRule="auto"/>
              <w:rPr/>
            </w:pPr>
            <w:r>
              <w:rPr>
                <w:rFonts w:ascii="Arial" w:cs="Arial" w:eastAsia="Arial" w:hAnsi="Arial"/>
                <w:b w:val="0"/>
                <w:bCs w:val="0"/>
                <w:i w:val="0"/>
                <w:iCs w:val="0"/>
                <w:color w:val="000000"/>
                <w:sz w:val="20"/>
                <w:szCs w:val="20"/>
                <w:rtl w:val="0"/>
              </w:rPr>
              <w:t xml:space="preserve">Sincerely,</w:t>
            </w:r>
            <w:r>
              <w:rPr>
                <w:rtl w:val="0"/>
              </w:rPr>
            </w:r>
          </w:p>
          <w:p w14:paraId="00000010">
            <w:pPr>
              <w:spacing w:after="0" w:before="0" w:line="276" w:lineRule="auto"/>
              <w:rPr/>
            </w:pPr>
            <w:r>
              <w:rPr>
                <w:rFonts w:ascii="Arial" w:cs="Arial" w:eastAsia="Arial" w:hAnsi="Arial"/>
                <w:b w:val="0"/>
                <w:bCs w:val="0"/>
                <w:i w:val="0"/>
                <w:iCs w:val="0"/>
                <w:color w:val="000000"/>
                <w:sz w:val="20"/>
                <w:szCs w:val="20"/>
                <w:rtl w:val="0"/>
              </w:rPr>
              <w:t xml:space="preserve">Anonymous External Reviewer</w:t>
            </w:r>
            <w:r>
              <w:rPr>
                <w:rtl w:val="0"/>
              </w:rPr>
            </w:r>
          </w:p>
          <w:p w14:paraId="00000011">
            <w:pPr>
              <w:spacing w:after="0" w:before="0" w:line="276" w:lineRule="auto"/>
              <w:rPr/>
            </w:pPr>
            <w:r>
              <w:rPr>
                <w:rFonts w:ascii="Arial" w:cs="Arial" w:eastAsia="Arial" w:hAnsi="Arial"/>
                <w:b w:val="0"/>
                <w:bCs w:val="0"/>
                <w:i w:val="0"/>
                <w:iCs w:val="0"/>
                <w:color w:val="000000"/>
                <w:sz w:val="20"/>
                <w:szCs w:val="20"/>
                <w:rtl w:val="0"/>
              </w:rPr>
              <w:t xml:space="preserve">Full Professor</w:t>
            </w:r>
            <w:r>
              <w:rPr>
                <w:rtl w:val="0"/>
              </w:rPr>
            </w:r>
          </w:p>
        </w:tc>
      </w:tr>
    </w:tbl>
    <w:p w14:paraId="00000012">
      <w:pPr>
        <w:spacing w:after="0" w:before="0" w:line="240" w:lineRule="auto"/>
        <w:rPr/>
      </w:pPr>
      <w:r>
        <w:rPr>
          <w:rtl w:val="0"/>
        </w:rPr>
      </w:r>
    </w:p>
    <w:sectPr>
      <w:headerReference r:id="rId7" w:type="default"/>
      <w:footerReference r:id="rId8" w:type="default"/>
      <w:pgSz w:h="15840" w:w="12240" w:orient="portrait"/>
      <w:pgMar w:bottom="1008" w:top="720" w:left="1080" w:right="1080" w:header="49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3"/>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gridCol w:w="1440"/>
      <w:tblGridChange w:id="0">
        <w:tblGrid>
          <w:gridCol w:w="8640"/>
          <w:gridCol w:w="1440"/>
        </w:tblGrid>
      </w:tblGridChange>
    </w:tblGrid>
    <w:tr>
      <w:trPr>
        <w:cantSplit w:val="0"/>
        <w:tblHeader w:val="0"/>
      </w:trPr>
      <w:tc>
        <w:tcPr>
          <w:tcMar>
            <w:top w:w="0.0" w:type="dxa"/>
            <w:bottom w:w="0.0" w:type="dxa"/>
          </w:tcMar>
          <w:vAlign w:val="center"/>
        </w:tcPr>
        <w:p w14:paraId="00000019">
          <w:pPr>
            <w:spacing w:after="0" w:before="0" w:line="240" w:lineRule="auto"/>
            <w:rPr>
              <w:sz w:val="18"/>
              <w:szCs w:val="18"/>
            </w:rPr>
          </w:pPr>
          <w:r>
            <w:rPr>
              <w:rFonts w:ascii="Arial" w:cs="Arial" w:eastAsia="Arial" w:hAnsi="Arial"/>
              <w:b w:val="0"/>
              <w:bCs w:val="0"/>
              <w:i w:val="0"/>
              <w:iCs w:val="0"/>
              <w:color w:val="5a5a5a"/>
              <w:sz w:val="18"/>
              <w:szCs w:val="18"/>
              <w:rtl w:val="0"/>
            </w:rPr>
            <w:t xml:space="preserve">Anonymous external review</w:t>
          </w:r>
          <w:r>
            <w:rPr>
              <w:rtl w:val="0"/>
            </w:rPr>
          </w:r>
        </w:p>
      </w:tc>
      <w:tc>
        <w:tcPr>
          <w:tcMar>
            <w:top w:w="0.0" w:type="dxa"/>
            <w:bottom w:w="0.0" w:type="dxa"/>
          </w:tcMar>
          <w:vAlign w:val="center"/>
        </w:tcPr>
        <w:p w14:paraId="0000001A">
          <w:pPr>
            <w:spacing w:after="0" w:before="0" w:line="240" w:lineRule="auto"/>
            <w:jc w:val="right"/>
            <w:rPr/>
          </w:pPr>
          <w:r>
            <w:rPr>
              <w:rFonts w:ascii="Arial" w:cs="Arial" w:eastAsia="Arial" w:hAnsi="Arial"/>
              <w:b w:val="0"/>
              <w:bCs w:val="0"/>
              <w:i w:val="0"/>
              <w:iCs w:val="0"/>
              <w:color w:val="5a5a5a"/>
              <w:sz w:val="16"/>
              <w:szCs w:val="16"/>
            </w:rPr>
            <w:fldChar w:fldCharType="begin"/>
            <w:instrText xml:space="preserve">PAGE</w:instrText>
            <w:fldChar w:fldCharType="separate"/>
            <w:fldChar w:fldCharType="end"/>
          </w:r>
          <w:r>
            <w:rPr>
              <w:rtl w:val="0"/>
            </w:rPr>
          </w:r>
        </w:p>
      </w:tc>
    </w:tr>
  </w:tbl>
  <w:p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2"/>
      <w:tblW w:w="100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0"/>
      <w:gridCol w:w="7020"/>
      <w:tblGridChange w:id="0">
        <w:tblGrid>
          <w:gridCol w:w="3060"/>
          <w:gridCol w:w="7020"/>
        </w:tblGrid>
      </w:tblGridChange>
    </w:tblGrid>
    <w:tr>
      <w:trPr>
        <w:cantSplit w:val="0"/>
        <w:tblHeader w:val="0"/>
      </w:trPr>
      <w:tc>
        <w:tcPr>
          <w:tcMar>
            <w:top w:w="0.0" w:type="dxa"/>
            <w:bottom w:w="0.0" w:type="dxa"/>
          </w:tcMar>
          <w:vAlign w:val="center"/>
        </w:tcPr>
        <w:p w14:paraId="00000014">
          <w:pPr>
            <w:pStyle w:val="Title"/>
            <w:spacing w:after="0" w:before="0" w:line="240" w:lineRule="auto"/>
            <w:rPr>
              <w:color w:val="000000"/>
              <w:sz w:val="28"/>
              <w:szCs w:val="28"/>
            </w:rPr>
            <w:pBdr>
              <w:top w:val="nil"/>
              <w:left w:val="nil"/>
              <w:bottom w:val="nil"/>
              <w:right w:val="nil"/>
              <w:between w:val="nil"/>
              <w:bar w:val="nil"/>
            </w:pBdr>
          </w:pPr>
          <w:r>
            <w:rPr>
              <w:rFonts w:ascii="Arial" w:cs="Arial" w:eastAsia="Arial" w:hAnsi="Arial"/>
              <w:b w:val="1"/>
              <w:bCs w:val="1"/>
              <w:i w:val="0"/>
              <w:iCs w:val="0"/>
              <w:color w:val="000000"/>
              <w:sz w:val="48"/>
              <w:szCs w:val="48"/>
              <w:rtl w:val="0"/>
            </w:rPr>
            <w:t xml:space="preserve">Review</w:t>
          </w:r>
          <w:r>
            <w:rPr>
              <w:rtl w:val="0"/>
            </w:rPr>
          </w:r>
        </w:p>
      </w:tc>
      <w:tc>
        <w:tcPr>
          <w:tcMar>
            <w:top w:w="0.0" w:type="dxa"/>
            <w:bottom w:w="0.0" w:type="dxa"/>
          </w:tcMar>
          <w:vAlign w:val="center"/>
        </w:tcPr>
        <w:p w14:paraId="00000015">
          <w:pPr>
            <w:spacing w:after="0" w:before="0" w:line="252.00000000000003" w:lineRule="auto"/>
            <w:rPr>
              <w:sz w:val="18"/>
              <w:szCs w:val="18"/>
            </w:rPr>
          </w:pPr>
          <w:r>
            <w:rPr>
              <w:rFonts w:ascii="Arial" w:cs="Arial" w:eastAsia="Arial" w:hAnsi="Arial"/>
              <w:b w:val="0"/>
              <w:bCs w:val="0"/>
              <w:i w:val="0"/>
              <w:iCs w:val="0"/>
              <w:color w:val="000000"/>
              <w:sz w:val="18"/>
              <w:szCs w:val="18"/>
              <w:rtl w:val="0"/>
            </w:rPr>
            <w:t xml:space="preserve">Recommendation for promotion to Professor</w:t>
          </w:r>
          <w:r>
            <w:rPr>
              <w:rtl w:val="0"/>
            </w:rPr>
          </w:r>
        </w:p>
        <w:p w14:paraId="00000016">
          <w:pPr>
            <w:spacing w:after="0" w:before="0" w:line="252.00000000000003" w:lineRule="auto"/>
            <w:rPr>
              <w:sz w:val="18"/>
              <w:szCs w:val="18"/>
            </w:rPr>
          </w:pPr>
          <w:r>
            <w:rPr>
              <w:rFonts w:ascii="Arial" w:cs="Arial" w:eastAsia="Arial" w:hAnsi="Arial"/>
              <w:b w:val="0"/>
              <w:bCs w:val="0"/>
              <w:i w:val="0"/>
              <w:iCs w:val="0"/>
              <w:color w:val="000000"/>
              <w:sz w:val="18"/>
              <w:szCs w:val="18"/>
              <w:rtl w:val="0"/>
            </w:rPr>
            <w:t xml:space="preserve">Dr. Zhibo Zhang</w:t>
          </w:r>
          <w:r>
            <w:rPr>
              <w:rtl w:val="0"/>
            </w:rPr>
          </w:r>
        </w:p>
      </w:tc>
    </w:tr>
  </w:tbl>
  <w:p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