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E005" w14:textId="31E2612C" w:rsidR="0038139A" w:rsidRDefault="00713E79" w:rsidP="00BE704C">
      <w:pPr>
        <w:ind w:firstLineChars="200" w:firstLine="420"/>
      </w:pPr>
      <w:r>
        <w:rPr>
          <w:rFonts w:hint="eastAsia"/>
        </w:rPr>
        <w:t>站在保险公司的角度，一个面临极端天气威胁的地区是一块风险和收益并存的沃土，</w:t>
      </w:r>
      <w:r w:rsidR="001A5320">
        <w:rPr>
          <w:rFonts w:hint="eastAsia"/>
        </w:rPr>
        <w:t>我们综合使用</w:t>
      </w:r>
      <w:r w:rsidR="001A5320">
        <w:t>ARIMA</w:t>
      </w:r>
      <w:r w:rsidR="001A5320">
        <w:rPr>
          <w:rFonts w:hint="eastAsia"/>
        </w:rPr>
        <w:t>、</w:t>
      </w:r>
      <w:r w:rsidR="001A5320">
        <w:t>多元线性回归</w:t>
      </w:r>
      <w:r w:rsidR="001A5320">
        <w:rPr>
          <w:rFonts w:hint="eastAsia"/>
        </w:rPr>
        <w:t>、</w:t>
      </w:r>
      <w:r w:rsidR="001A5320">
        <w:t>决策模型</w:t>
      </w:r>
      <w:r w:rsidR="001A5320">
        <w:rPr>
          <w:rFonts w:hint="eastAsia"/>
        </w:rPr>
        <w:t>来尝试解决高风险地区承保保单相关问题。</w:t>
      </w:r>
    </w:p>
    <w:p w14:paraId="593E79D6" w14:textId="77777777" w:rsidR="001A5320" w:rsidRDefault="001A5320" w:rsidP="00BE704C">
      <w:pPr>
        <w:ind w:firstLineChars="200" w:firstLine="420"/>
      </w:pPr>
      <w:r>
        <w:rPr>
          <w:rFonts w:hint="eastAsia"/>
        </w:rPr>
        <w:t>根据经济盈亏角度，我们初步拟定以下决策式：</w:t>
      </w:r>
    </w:p>
    <w:p w14:paraId="27FF9E70" w14:textId="77777777" w:rsidR="003C00A1" w:rsidRDefault="003C00A1" w:rsidP="00BE704C">
      <w:pPr>
        <w:ind w:firstLineChars="200" w:firstLine="420"/>
      </w:pPr>
      <m:oMathPara>
        <m:oMath>
          <m:r>
            <w:rPr>
              <w:rFonts w:ascii="Cambria Math" w:hAnsi="Cambria Math"/>
            </w:rPr>
            <m:t>S≥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69106D84" w14:textId="23F643DC" w:rsidR="003C00A1" w:rsidRDefault="001A5320" w:rsidP="00BE704C">
      <w:pPr>
        <w:ind w:firstLineChars="200"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为保险费用，</w:t>
      </w:r>
      <m:oMath>
        <m:r>
          <w:rPr>
            <w:rFonts w:ascii="Cambria Math" w:hAnsi="Cambria Math"/>
          </w:rPr>
          <m:t>T</m:t>
        </m:r>
      </m:oMath>
      <w:r w:rsidR="00A96F71">
        <w:rPr>
          <w:rFonts w:hint="eastAsia"/>
        </w:rPr>
        <w:t>为赔付金额，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6F71">
        <w:rPr>
          <w:rFonts w:hint="eastAsia"/>
        </w:rPr>
        <w:t>为</w:t>
      </w:r>
      <w:r w:rsidR="003C00A1">
        <w:rPr>
          <w:rFonts w:hint="eastAsia"/>
        </w:rPr>
        <w:t>预设的</w:t>
      </w:r>
      <w:r w:rsidR="00A96F71">
        <w:rPr>
          <w:rFonts w:hint="eastAsia"/>
        </w:rPr>
        <w:t>比例常数，可以根据经验积累得到。</w:t>
      </w:r>
    </w:p>
    <w:p w14:paraId="5F0DC023" w14:textId="1526E4C5" w:rsidR="00A96F71" w:rsidRDefault="003C00A1" w:rsidP="00ED7276">
      <w:pPr>
        <w:ind w:firstLineChars="200" w:firstLine="420"/>
      </w:pPr>
      <w:r w:rsidRPr="003C00A1">
        <w:rPr>
          <w:rFonts w:hint="eastAsia"/>
        </w:rPr>
        <w:t>预设的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3C00A1">
        <w:t>值应该满足实际</w:t>
      </w:r>
      <m:oMath>
        <m:r>
          <m:rPr>
            <m:sty m:val="p"/>
          </m:rPr>
          <w:rPr>
            <w:rFonts w:ascii="Cambria Math" w:hAnsi="Cambria Math"/>
          </w:rPr>
          <m:t>K&gt;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727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ED7276">
        <w:rPr>
          <w:rFonts w:hint="eastAsia"/>
        </w:rPr>
        <w:t>的预测值可以代表保险费用与赔付金额的比值，</w:t>
      </w:r>
      <m:oMath>
        <m:r>
          <m:rPr>
            <m:sty m:val="p"/>
          </m:rPr>
          <w:rPr>
            <w:rFonts w:ascii="Cambria Math" w:hAnsi="Cambria Math"/>
          </w:rPr>
          <m:t>K&gt;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7276">
        <w:rPr>
          <w:rFonts w:hint="eastAsia"/>
        </w:rPr>
        <w:t>说明收入可以抵支出，</w:t>
      </w:r>
      <w:r w:rsidRPr="003C00A1">
        <w:t>证明</w:t>
      </w:r>
      <w:r w:rsidR="00ED7276">
        <w:rPr>
          <w:rFonts w:hint="eastAsia"/>
        </w:rPr>
        <w:t>该地比较具有承保意义，如</w:t>
      </w:r>
      <w:r w:rsidRPr="003C00A1">
        <w:t>果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00A1">
        <w:t xml:space="preserve"> 但是与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00A1">
        <w:t>的</w:t>
      </w:r>
      <w:proofErr w:type="gramStart"/>
      <w:r w:rsidRPr="003C00A1">
        <w:t>值非常</w:t>
      </w:r>
      <w:proofErr w:type="gramEnd"/>
      <w:r w:rsidRPr="003C00A1">
        <w:t>接近，那么可以根据收入</w:t>
      </w:r>
      <m:oMath>
        <m:r>
          <w:rPr>
            <w:rFonts w:ascii="Cambria Math" w:hAnsi="Cambria Math"/>
          </w:rPr>
          <m:t>T</m:t>
        </m:r>
      </m:oMath>
      <w:r w:rsidRPr="003C00A1">
        <w:t>是否大于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C00A1">
        <w:t xml:space="preserve"> 来判断是否值得冒险</w:t>
      </w:r>
      <w:r>
        <w:rPr>
          <w:rFonts w:hint="eastAsia"/>
        </w:rPr>
        <w:t>。</w:t>
      </w:r>
      <w:r w:rsidR="00A96F71">
        <w:br/>
      </w:r>
      <w:r w:rsidR="00A96F71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</m:oMath>
      <w:r w:rsidR="00A96F71">
        <w:rPr>
          <w:rFonts w:hint="eastAsia"/>
        </w:rPr>
        <w:t>的计算：</w:t>
      </w:r>
    </w:p>
    <w:p w14:paraId="1F33F4BB" w14:textId="29F39074" w:rsidR="001A5320" w:rsidRDefault="00A96F71" w:rsidP="00BE704C">
      <w:pPr>
        <w:ind w:firstLineChars="200" w:firstLine="420"/>
        <w:jc w:val="center"/>
      </w:pPr>
      <m:oMathPara>
        <m:oMath>
          <m:r>
            <w:rPr>
              <w:rFonts w:ascii="Cambria Math" w:hAnsi="Cambria Math"/>
            </w:rPr>
            <m:t>S=P×Q</m:t>
          </m:r>
        </m:oMath>
      </m:oMathPara>
    </w:p>
    <w:p w14:paraId="61BD7334" w14:textId="77777777" w:rsidR="00A96F71" w:rsidRDefault="00A96F71" w:rsidP="00BE704C">
      <w:pPr>
        <w:ind w:firstLineChars="200"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为保险平均费用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为投保人数，</w:t>
      </w:r>
      <m:oMath>
        <m:r>
          <w:rPr>
            <w:rFonts w:ascii="Cambria Math" w:hAnsi="Cambria Math"/>
          </w:rPr>
          <m:t>P</m:t>
        </m:r>
      </m:oMath>
      <w:r w:rsidRPr="00A96F71">
        <w:t>=人数×保险</w:t>
      </w:r>
      <w:r>
        <w:rPr>
          <w:rFonts w:hint="eastAsia"/>
        </w:rPr>
        <w:t>的覆盖率，我们这里用逻辑模型</w:t>
      </w:r>
    </w:p>
    <w:p w14:paraId="6C67226E" w14:textId="77777777" w:rsidR="00A96F71" w:rsidRDefault="00A96F71" w:rsidP="00BE704C">
      <w:pPr>
        <w:ind w:firstLineChars="200" w:firstLine="4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x-c</m:t>
                      </m:r>
                    </m:e>
                  </m:d>
                </m:sup>
              </m:sSup>
            </m:den>
          </m:f>
        </m:oMath>
      </m:oMathPara>
    </w:p>
    <w:p w14:paraId="72278DCA" w14:textId="0C2ECB35" w:rsidR="00A96F71" w:rsidRDefault="00A96F71" w:rsidP="00BE704C">
      <w:pPr>
        <w:ind w:firstLineChars="200" w:firstLine="420"/>
      </w:pPr>
      <w:r>
        <w:rPr>
          <w:rFonts w:hint="eastAsia"/>
        </w:rPr>
        <w:t>拟合得到。</w:t>
      </w:r>
    </w:p>
    <w:p w14:paraId="15F59394" w14:textId="1B47DE3D" w:rsidR="00A96F71" w:rsidRDefault="00A96F71" w:rsidP="00BE704C">
      <w:pPr>
        <w:ind w:firstLine="20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的计算：</w:t>
      </w:r>
    </w:p>
    <w:p w14:paraId="243F483C" w14:textId="3C3F7CF6" w:rsidR="00A96F71" w:rsidRDefault="00A96F71" w:rsidP="00BE704C">
      <w:pPr>
        <w:ind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采用多因素拟合来得到赔付金额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的数值：</w:t>
      </w:r>
    </w:p>
    <w:p w14:paraId="50D813C5" w14:textId="708F7F7A" w:rsidR="00A96F71" w:rsidRPr="00A96F71" w:rsidRDefault="00A96F71" w:rsidP="00BE704C">
      <w:pPr>
        <w:ind w:firstLine="200"/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DD38C6D" w14:textId="77777777" w:rsidR="009616D7" w:rsidRDefault="00A96F71" w:rsidP="00BE704C">
      <w:pPr>
        <w:ind w:firstLineChars="200" w:firstLine="420"/>
      </w:pPr>
      <w:r>
        <w:rPr>
          <w:rFonts w:hint="eastAsia"/>
        </w:rPr>
        <w:t>因此我们要进行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的预测，此处采用</w:t>
      </w:r>
      <m:oMath>
        <m:r>
          <w:rPr>
            <w:rFonts w:ascii="Cambria Math" w:hAnsi="Cambria Math"/>
          </w:rPr>
          <m:t>ARIMA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模型进行预测，通过观察</w:t>
      </w:r>
      <w:r w:rsidR="00843F69">
        <w:rPr>
          <w:rFonts w:hint="eastAsia"/>
        </w:rPr>
        <w:t>，</w:t>
      </w:r>
      <w:r>
        <w:rPr>
          <w:rFonts w:hint="eastAsia"/>
        </w:rPr>
        <w:t>我们发现这些参数多为非平衡的序列，因此需要进行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次差分处理，通过</w:t>
      </w:r>
      <m:oMath>
        <m:r>
          <w:rPr>
            <w:rFonts w:ascii="Cambria Math" w:hAnsi="Cambria Math"/>
          </w:rPr>
          <m:t>AugmentedDickey-FullerTest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Kwiatkowski–Phillips–Schmidt–Shin</m:t>
        </m:r>
      </m:oMath>
      <w:r w:rsidR="00BE704C">
        <w:rPr>
          <w:rFonts w:hint="eastAsia"/>
        </w:rPr>
        <w:t>检验原理，检验在</w:t>
      </w:r>
      <m:oMath>
        <m:r>
          <w:rPr>
            <w:rFonts w:ascii="Cambria Math" w:hAnsi="Cambria Math"/>
          </w:rPr>
          <m:t>p&lt;0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05</m:t>
        </m:r>
      </m:oMath>
      <w:r w:rsidR="00BE704C">
        <w:rPr>
          <w:rFonts w:hint="eastAsia"/>
        </w:rPr>
        <w:t>的情况下</w:t>
      </w:r>
      <w:r w:rsidR="009616D7">
        <w:rPr>
          <w:rFonts w:hint="eastAsia"/>
        </w:rPr>
        <w:t>是否</w:t>
      </w:r>
    </w:p>
    <w:p w14:paraId="28FB246E" w14:textId="45B163BB" w:rsidR="009616D7" w:rsidRDefault="00BE704C" w:rsidP="009616D7">
      <w:pPr>
        <w:ind w:firstLineChars="200" w:firstLine="420"/>
        <w:jc w:val="center"/>
      </w:pPr>
      <m:oMath>
        <m:r>
          <w:rPr>
            <w:rFonts w:ascii="Cambria Math" w:hAnsi="Cambria Math"/>
          </w:rPr>
          <m:t>OUT1=1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OUT2=0</m:t>
        </m:r>
      </m:oMath>
    </w:p>
    <w:p w14:paraId="2D477178" w14:textId="67BF17A6" w:rsidR="00A96F71" w:rsidRDefault="00BE704C" w:rsidP="00BE704C">
      <w:pPr>
        <w:ind w:firstLineChars="200" w:firstLine="420"/>
      </w:pPr>
      <w:r>
        <w:rPr>
          <w:rFonts w:hint="eastAsia"/>
        </w:rPr>
        <w:t>此时</w:t>
      </w:r>
    </w:p>
    <w:p w14:paraId="3C38AE4C" w14:textId="65836DFA" w:rsidR="00BE704C" w:rsidRPr="00BE704C" w:rsidRDefault="00000000" w:rsidP="00BE704C">
      <w:pPr>
        <w:ind w:firstLine="20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eqAr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1-L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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5FEE727" w14:textId="66E5CE05" w:rsidR="00BE704C" w:rsidRDefault="00BE704C" w:rsidP="00780CD6">
      <w:pPr>
        <w:ind w:firstLineChars="200" w:firstLine="420"/>
      </w:pPr>
      <w:r>
        <w:rPr>
          <w:rFonts w:hint="eastAsia"/>
          <w:iCs/>
        </w:rPr>
        <w:t>其中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是滞后算子，</w:t>
      </w:r>
      <m:oMath>
        <m:r>
          <w:rPr>
            <w:rFonts w:ascii="Cambria Math" w:hAnsi="Cambria Math"/>
          </w:rPr>
          <m:t>d∈Z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d&gt;0</m:t>
        </m:r>
      </m:oMath>
      <w:r>
        <w:rPr>
          <w:rFonts w:hint="eastAsia"/>
        </w:rPr>
        <w:t>。</w:t>
      </w:r>
    </w:p>
    <w:p w14:paraId="44FED334" w14:textId="77777777" w:rsidR="00BE704C" w:rsidRDefault="00BE704C" w:rsidP="00780CD6">
      <w:pPr>
        <w:ind w:firstLineChars="200" w:firstLine="420"/>
      </w:pPr>
      <w:r>
        <w:rPr>
          <w:rFonts w:hint="eastAsia"/>
        </w:rPr>
        <w:t>这说明时间序列平稳，利用</w:t>
      </w:r>
    </w:p>
    <w:p w14:paraId="1EBAD35F" w14:textId="2AACDF4A" w:rsidR="00BE704C" w:rsidRPr="00BE704C" w:rsidRDefault="00BE704C" w:rsidP="00BE704C">
      <w:pPr>
        <w:ind w:firstLineChars="300" w:firstLine="630"/>
      </w:pPr>
      <m:oMathPara>
        <m:oMath>
          <m:r>
            <w:rPr>
              <w:rFonts w:ascii="Cambria Math" w:hAnsi="Cambria Math"/>
            </w:rPr>
            <m:t>AIC=2N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模型中的参数个数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为模型的极大似然函数的值</m:t>
              </m:r>
            </m:e>
          </m:d>
        </m:oMath>
      </m:oMathPara>
    </w:p>
    <w:p w14:paraId="777E7975" w14:textId="2BC8FFA8" w:rsidR="00BE704C" w:rsidRPr="00BE704C" w:rsidRDefault="00BE704C" w:rsidP="00BE704C">
      <w:pPr>
        <w:ind w:firstLineChars="300" w:firstLine="630"/>
      </w:pPr>
      <m:oMathPara>
        <m:oMath>
          <m:r>
            <w:rPr>
              <w:rFonts w:ascii="Cambria Math" w:hAnsi="Cambria Math"/>
            </w:rPr>
            <m:t>BIC=N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为模型中的参数的个数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为模型中的观测值数量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为模型的极大似然函数的值</m:t>
              </m:r>
            </m:e>
          </m:d>
        </m:oMath>
      </m:oMathPara>
    </w:p>
    <w:p w14:paraId="2131C52D" w14:textId="38EA3B78" w:rsidR="00BE704C" w:rsidRDefault="00BE704C" w:rsidP="00780CD6">
      <w:pPr>
        <w:ind w:firstLineChars="200" w:firstLine="420"/>
      </w:pPr>
      <w:r w:rsidRPr="00BE704C">
        <w:rPr>
          <w:rFonts w:hint="eastAsia"/>
        </w:rPr>
        <w:t>通过以上两个准则可以得到合理的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>值，对于</w:t>
      </w:r>
    </w:p>
    <w:p w14:paraId="1E4091D3" w14:textId="2E271AA1" w:rsidR="00BE704C" w:rsidRPr="00BE704C" w:rsidRDefault="00000000" w:rsidP="00BE704C">
      <w:pPr>
        <w:ind w:firstLineChars="300" w:firstLine="63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bSup>
                </m:e>
              </m:eqAr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e>
          </m:nary>
        </m:oMath>
      </m:oMathPara>
    </w:p>
    <w:p w14:paraId="763CBA5A" w14:textId="77777777" w:rsidR="00BE704C" w:rsidRDefault="00BE704C" w:rsidP="00780CD6">
      <w:pPr>
        <w:ind w:firstLineChars="200" w:firstLine="420"/>
      </w:pPr>
      <w:r w:rsidRPr="00BE704C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BE704C">
        <w:rPr>
          <w:rFonts w:hint="eastAsia"/>
        </w:rPr>
        <w:t>为符合均值为</w:t>
      </w:r>
      <w:r w:rsidRPr="00BE704C">
        <w:t>0，方差为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E704C">
        <w:rPr>
          <w:rFonts w:hint="eastAsia"/>
        </w:rPr>
        <w:t>的正太分布的白噪声</w:t>
      </w:r>
      <w:r>
        <w:rPr>
          <w:rFonts w:hint="eastAsia"/>
        </w:rPr>
        <w:t>，</w:t>
      </w:r>
      <w:r w:rsidRPr="00BE704C">
        <w:rPr>
          <w:rFonts w:hint="eastAsia"/>
        </w:rPr>
        <w:t>所以</w:t>
      </w:r>
      <w:proofErr w:type="spellStart"/>
      <w:r w:rsidRPr="00BE704C">
        <w:t>X_t</w:t>
      </w:r>
      <w:proofErr w:type="spellEnd"/>
      <w:r w:rsidRPr="00BE704C">
        <w:t xml:space="preserve"> 的条件概率密度可以</w:t>
      </w:r>
      <w:r w:rsidRPr="00BE704C">
        <w:lastRenderedPageBreak/>
        <w:t>写为：</w:t>
      </w:r>
    </w:p>
    <w:p w14:paraId="55CA2132" w14:textId="519C5A30" w:rsidR="00BE704C" w:rsidRPr="00BE704C" w:rsidRDefault="00BE704C" w:rsidP="00BE704C">
      <w:pPr>
        <w:ind w:firstLineChars="300" w:firstLine="63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,...,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t-q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-∑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-∑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518172F5" w14:textId="7DAF750E" w:rsidR="00BE704C" w:rsidRDefault="00BE704C" w:rsidP="00780CD6">
      <w:pPr>
        <w:ind w:firstLineChars="200" w:firstLine="420"/>
      </w:pPr>
      <w:r w:rsidRPr="00BE704C">
        <w:rPr>
          <w:rFonts w:hint="eastAsia"/>
        </w:rPr>
        <w:t>然后我们可以写出整个时间序列的联合概率密度函数，即似然函数</w:t>
      </w:r>
      <w:r>
        <w:rPr>
          <w:rFonts w:hint="eastAsia"/>
        </w:rPr>
        <w:t>为：</w:t>
      </w:r>
    </w:p>
    <w:p w14:paraId="21698C99" w14:textId="69437C88" w:rsidR="00BE704C" w:rsidRPr="00BE704C" w:rsidRDefault="00BE704C" w:rsidP="00BE704C">
      <w:pPr>
        <w:ind w:firstLineChars="300" w:firstLine="630"/>
      </w:pPr>
      <m:oMathPara>
        <m:oMath>
          <m:r>
            <w:rPr>
              <w:rFonts w:ascii="Cambria Math" w:hAnsi="Cambria Math"/>
            </w:rPr>
            <m:t>L=∏f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t-q</m:t>
                  </m:r>
                </m:sub>
              </m:sSub>
            </m:e>
          </m:d>
        </m:oMath>
      </m:oMathPara>
    </w:p>
    <w:p w14:paraId="22FE414C" w14:textId="72B87063" w:rsidR="00BE704C" w:rsidRPr="00BE704C" w:rsidRDefault="00BE704C" w:rsidP="00780CD6">
      <w:pPr>
        <w:ind w:firstLineChars="200" w:firstLine="420"/>
      </w:pPr>
      <w:r w:rsidRPr="00BE704C">
        <w:rPr>
          <w:rFonts w:hint="eastAsia"/>
          <w:iCs/>
        </w:rPr>
        <w:t>其中</w:t>
      </w:r>
      <m:oMath>
        <m:r>
          <w:rPr>
            <w:rFonts w:ascii="Cambria Math" w:hAnsi="Cambria Math"/>
          </w:rPr>
          <m:t>t=p+1</m:t>
        </m:r>
        <m:r>
          <m:rPr>
            <m:sty m:val="p"/>
          </m:rPr>
          <w:rPr>
            <w:rFonts w:ascii="Cambria Math" w:hAnsi="Cambria Math"/>
          </w:rPr>
          <m:t>,…,</m:t>
        </m:r>
      </m:oMath>
    </w:p>
    <w:p w14:paraId="0C610F14" w14:textId="116CC045" w:rsidR="00BE704C" w:rsidRDefault="00BE704C" w:rsidP="00780CD6">
      <w:pPr>
        <w:ind w:firstLineChars="200" w:firstLine="420"/>
      </w:pPr>
      <w:r w:rsidRPr="00BE704C">
        <w:rPr>
          <w:rFonts w:hint="eastAsia"/>
          <w:iCs/>
        </w:rPr>
        <w:t>对数似然函数</w:t>
      </w:r>
      <m:oMath>
        <m: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>
        <w:rPr>
          <w:rFonts w:hint="eastAsia"/>
        </w:rPr>
        <w:t>，为：</w:t>
      </w:r>
    </w:p>
    <w:p w14:paraId="150B1496" w14:textId="249ED3C2" w:rsidR="00BE704C" w:rsidRPr="00BE704C" w:rsidRDefault="00BE704C" w:rsidP="00BE704C">
      <w:pPr>
        <w:ind w:firstLineChars="300" w:firstLine="630"/>
      </w:pPr>
      <m:oMathPara>
        <m:oMath>
          <m:r>
            <w:rPr>
              <w:rFonts w:ascii="Cambria Math" w:hAnsi="Cambria Math"/>
            </w:rPr>
            <m:t>l=-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-∑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4364405" w14:textId="686F09B7" w:rsidR="00BE704C" w:rsidRDefault="00BE704C" w:rsidP="00780CD6">
      <w:pPr>
        <w:ind w:firstLineChars="200"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t=p+1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。</w:t>
      </w:r>
    </w:p>
    <w:p w14:paraId="23844241" w14:textId="40611E7B" w:rsidR="00BE704C" w:rsidRPr="00A054C9" w:rsidRDefault="00BE704C" w:rsidP="00780CD6">
      <w:pPr>
        <w:ind w:firstLineChars="200" w:firstLine="420"/>
      </w:pPr>
      <w:r w:rsidRPr="00BE704C">
        <w:rPr>
          <w:rFonts w:hint="eastAsia"/>
          <w:iCs/>
        </w:rPr>
        <w:t>最后，我们对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相关参数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求</w:t>
      </w:r>
      <w:r w:rsidR="00A054C9">
        <w:rPr>
          <w:rFonts w:hint="eastAsia"/>
        </w:rPr>
        <w:t>偏导，令偏导数字=</w:t>
      </w:r>
      <w:r w:rsidR="00A054C9">
        <w:t>0</w:t>
      </w:r>
      <w:r w:rsidR="00A054C9">
        <w:rPr>
          <w:rFonts w:hint="eastAsia"/>
        </w:rPr>
        <w:t>，得到一组联立方程，解这组方程就可以得到参数的极大似然估计值，通过</w:t>
      </w:r>
      <w:r w:rsidR="00A054C9">
        <w:t>ARIMA</w:t>
      </w:r>
      <w:r w:rsidR="00A054C9">
        <w:rPr>
          <w:rFonts w:hint="eastAsia"/>
        </w:rPr>
        <w:t>预测未来的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054C9">
        <w:rPr>
          <w:rFonts w:hint="eastAsia"/>
        </w:rPr>
        <w:t>，将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612F8" w:rsidRPr="009612F8">
        <w:rPr>
          <w:rFonts w:hint="eastAsia"/>
        </w:rPr>
        <w:t>代入</w:t>
      </w:r>
    </w:p>
    <w:p w14:paraId="50B7510A" w14:textId="23ACCF2A" w:rsidR="00A054C9" w:rsidRPr="00A054C9" w:rsidRDefault="00A054C9" w:rsidP="00BE704C">
      <w:pPr>
        <w:ind w:firstLineChars="300" w:firstLine="630"/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A57D03E" w14:textId="638DD021" w:rsidR="009616D7" w:rsidRDefault="00A054C9" w:rsidP="00780CD6">
      <w:pPr>
        <w:ind w:firstLineChars="200" w:firstLine="420"/>
      </w:pPr>
      <w:r>
        <w:rPr>
          <w:rFonts w:hint="eastAsia"/>
        </w:rPr>
        <w:t>可得到</w:t>
      </w:r>
      <w:r w:rsidR="009616D7">
        <w:rPr>
          <w:rFonts w:hint="eastAsia"/>
        </w:rPr>
        <w:t>赔付金额</w:t>
      </w:r>
      <m:oMath>
        <m:r>
          <w:rPr>
            <w:rFonts w:ascii="Cambria Math" w:hAnsi="Cambria Math"/>
          </w:rPr>
          <m:t>T</m:t>
        </m:r>
      </m:oMath>
      <w:r w:rsidR="009616D7">
        <w:rPr>
          <w:rFonts w:hint="eastAsia"/>
        </w:rPr>
        <w:t>。</w:t>
      </w:r>
    </w:p>
    <w:p w14:paraId="6CA7BB08" w14:textId="536FD739" w:rsidR="009616D7" w:rsidRDefault="009616D7" w:rsidP="00780CD6">
      <w:pPr>
        <w:ind w:firstLineChars="200" w:firstLine="420"/>
      </w:pPr>
      <w:r>
        <w:rPr>
          <w:rFonts w:hint="eastAsia"/>
        </w:rPr>
        <w:t>以下为针对北美大陆的美国高风险地区和欧洲大陆的英国</w:t>
      </w:r>
      <w:r w:rsidR="003C00A1">
        <w:rPr>
          <w:rFonts w:hint="eastAsia"/>
        </w:rPr>
        <w:t>高风险地区的模型演示：</w:t>
      </w:r>
    </w:p>
    <w:p w14:paraId="1CD6C932" w14:textId="4E46F9E8" w:rsidR="009612F8" w:rsidRDefault="009612F8" w:rsidP="00780C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美国：</w:t>
      </w:r>
    </w:p>
    <w:p w14:paraId="3938C80D" w14:textId="51ADA458" w:rsidR="00F50FE6" w:rsidRDefault="009612F8" w:rsidP="00780CD6">
      <w:pPr>
        <w:pStyle w:val="a3"/>
        <w:ind w:leftChars="-1" w:left="-2"/>
        <w:rPr>
          <w:b/>
          <w:bCs/>
          <w:spacing w:val="-1"/>
        </w:rPr>
      </w:pPr>
      <w:r>
        <w:rPr>
          <w:rFonts w:hint="eastAsia"/>
        </w:rPr>
        <w:t>根据收集的相关灾害数据，如</w:t>
      </w:r>
      <w:r w:rsidRPr="009612F8">
        <w:t>Acres burned - comparable data (NIFC)</w:t>
      </w:r>
      <w:r>
        <w:rPr>
          <w:rFonts w:hint="eastAsia"/>
        </w:rPr>
        <w:t>、</w:t>
      </w:r>
      <w:r w:rsidRPr="009612F8">
        <w:t>Palmer Drought Severity Index (annual) (NOAA)</w:t>
      </w:r>
      <w:r>
        <w:rPr>
          <w:rFonts w:hint="eastAsia"/>
        </w:rPr>
        <w:t>等五项数据，即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，我们得到相对应的拟合出</w:t>
      </w:r>
      <w:r w:rsidRPr="003B1FA5">
        <w:rPr>
          <w:position w:val="-11"/>
        </w:rPr>
        <w:object w:dxaOrig="1133" w:dyaOrig="314" w14:anchorId="7CFCB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05pt;height:15.6pt" o:ole="">
            <v:imagedata r:id="rId5" o:title=""/>
          </v:shape>
          <o:OLEObject Type="Embed" ProgID="Equation.AxMath" ShapeID="_x0000_i1025" DrawAspect="Content" ObjectID="_1768638474" r:id="rId6"/>
        </w:object>
      </w:r>
      <w:r w:rsidR="00F50FE6" w:rsidRPr="00F50FE6">
        <w:rPr>
          <w:b/>
          <w:bCs/>
          <w:spacing w:val="-1"/>
        </w:rPr>
        <w:t xml:space="preserve"> </w:t>
      </w:r>
    </w:p>
    <w:p w14:paraId="4478E168" w14:textId="562F9679" w:rsidR="00F50FE6" w:rsidRPr="00A168B5" w:rsidRDefault="00F50FE6" w:rsidP="00F50FE6">
      <w:pPr>
        <w:pStyle w:val="a3"/>
        <w:ind w:leftChars="-1" w:left="-2" w:firstLineChars="0" w:firstLine="0"/>
        <w:jc w:val="center"/>
      </w:pPr>
      <w:bookmarkStart w:id="0" w:name="_Hlk157985197"/>
      <w:r w:rsidRPr="00A168B5">
        <w:rPr>
          <w:b/>
          <w:bCs/>
          <w:spacing w:val="-1"/>
        </w:rPr>
        <w:t>Table</w:t>
      </w:r>
      <w:r w:rsidRPr="00A168B5">
        <w:rPr>
          <w:spacing w:val="-1"/>
        </w:rPr>
        <w:t xml:space="preserve"> </w:t>
      </w:r>
      <w:r w:rsidRPr="00A168B5">
        <w:rPr>
          <w:b/>
          <w:bCs/>
          <w:spacing w:val="-1"/>
        </w:rPr>
        <w:t>1:</w:t>
      </w:r>
      <w:r w:rsidRPr="00A168B5">
        <w:rPr>
          <w:spacing w:val="-1"/>
        </w:rPr>
        <w:t xml:space="preserve"> </w:t>
      </w:r>
      <w:r w:rsidRPr="00F50FE6">
        <w:rPr>
          <w:b/>
          <w:bCs/>
          <w:spacing w:val="-1"/>
        </w:rPr>
        <w:t>Multiple regression coefficients for US data</w:t>
      </w:r>
    </w:p>
    <w:bookmarkEnd w:id="0"/>
    <w:p w14:paraId="3E5B8947" w14:textId="6C6C1C0F" w:rsidR="009612F8" w:rsidRPr="00F50FE6" w:rsidRDefault="009612F8" w:rsidP="009612F8">
      <w:pPr>
        <w:ind w:left="630" w:firstLineChars="200" w:firstLine="420"/>
      </w:pPr>
    </w:p>
    <w:tbl>
      <w:tblPr>
        <w:tblStyle w:val="20"/>
        <w:tblW w:w="4225" w:type="dxa"/>
        <w:tblInd w:w="2445" w:type="dxa"/>
        <w:tblLook w:val="04A0" w:firstRow="1" w:lastRow="0" w:firstColumn="1" w:lastColumn="0" w:noHBand="0" w:noVBand="1"/>
      </w:tblPr>
      <w:tblGrid>
        <w:gridCol w:w="1840"/>
        <w:gridCol w:w="2385"/>
      </w:tblGrid>
      <w:tr w:rsidR="009612F8" w14:paraId="2D0EB741" w14:textId="77777777" w:rsidTr="00F5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3E600405" w14:textId="2FBA805D" w:rsidR="009612F8" w:rsidRPr="007B0991" w:rsidRDefault="00000000" w:rsidP="005E5C3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85" w:type="dxa"/>
          </w:tcPr>
          <w:p w14:paraId="58AE2D5A" w14:textId="0DEFAA2C" w:rsidR="009612F8" w:rsidRDefault="009612F8" w:rsidP="005E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0991">
              <w:t>-8.04458786696347</w:t>
            </w:r>
          </w:p>
        </w:tc>
      </w:tr>
      <w:tr w:rsidR="009612F8" w14:paraId="10801F2F" w14:textId="77777777" w:rsidTr="00F5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4B911E4C" w14:textId="3F8B5566" w:rsidR="009612F8" w:rsidRPr="007B0991" w:rsidRDefault="00000000" w:rsidP="005E5C3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85" w:type="dxa"/>
          </w:tcPr>
          <w:p w14:paraId="2898FF1F" w14:textId="048709D7" w:rsidR="009612F8" w:rsidRDefault="009612F8" w:rsidP="005E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91">
              <w:t>30.9674008856095</w:t>
            </w:r>
          </w:p>
        </w:tc>
      </w:tr>
      <w:tr w:rsidR="009612F8" w14:paraId="0A48638E" w14:textId="77777777" w:rsidTr="00F50FE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68BFC58A" w14:textId="4CC5AEF1" w:rsidR="009612F8" w:rsidRPr="007B0991" w:rsidRDefault="00000000" w:rsidP="005E5C3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5" w:type="dxa"/>
          </w:tcPr>
          <w:p w14:paraId="1E38F62A" w14:textId="1944355C" w:rsidR="009612F8" w:rsidRDefault="009612F8" w:rsidP="005E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991">
              <w:t>2.85328836817797</w:t>
            </w:r>
          </w:p>
        </w:tc>
      </w:tr>
      <w:tr w:rsidR="009612F8" w14:paraId="6467CC88" w14:textId="77777777" w:rsidTr="00F5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403BA54F" w14:textId="4E182605" w:rsidR="009612F8" w:rsidRPr="007B0991" w:rsidRDefault="00000000" w:rsidP="005E5C3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85" w:type="dxa"/>
          </w:tcPr>
          <w:p w14:paraId="161FFE34" w14:textId="200A250A" w:rsidR="009612F8" w:rsidRDefault="009612F8" w:rsidP="005E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0991">
              <w:t>0.371425371979199</w:t>
            </w:r>
          </w:p>
        </w:tc>
      </w:tr>
      <w:tr w:rsidR="009612F8" w14:paraId="136436C4" w14:textId="77777777" w:rsidTr="00F50FE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2E1BB11C" w14:textId="29E10FE0" w:rsidR="009612F8" w:rsidRPr="007B0991" w:rsidRDefault="00000000" w:rsidP="005E5C3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85" w:type="dxa"/>
          </w:tcPr>
          <w:p w14:paraId="7D1E6DB8" w14:textId="573C1A34" w:rsidR="00F50FE6" w:rsidRDefault="009612F8" w:rsidP="005E5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991">
              <w:t>16.7743349920874</w:t>
            </w:r>
          </w:p>
        </w:tc>
      </w:tr>
    </w:tbl>
    <w:p w14:paraId="6B84545D" w14:textId="77777777" w:rsidR="00ED7276" w:rsidRDefault="00ED7276" w:rsidP="002D7E2A">
      <w:pPr>
        <w:ind w:left="630"/>
        <w:jc w:val="center"/>
        <w:rPr>
          <w:noProof/>
        </w:rPr>
      </w:pPr>
    </w:p>
    <w:p w14:paraId="11E7C5B6" w14:textId="7B3CEE06" w:rsidR="00F50FE6" w:rsidRDefault="00F50FE6" w:rsidP="002D7E2A">
      <w:pPr>
        <w:ind w:left="630"/>
        <w:jc w:val="center"/>
      </w:pPr>
      <w:r>
        <w:rPr>
          <w:noProof/>
        </w:rPr>
        <w:drawing>
          <wp:inline distT="0" distB="0" distL="0" distR="0" wp14:anchorId="10D3EBF0" wp14:editId="23F4A3CE">
            <wp:extent cx="4485376" cy="2510095"/>
            <wp:effectExtent l="0" t="0" r="0" b="5080"/>
            <wp:docPr id="1335028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6" t="3762" r="6446" b="5024"/>
                    <a:stretch/>
                  </pic:blipFill>
                  <pic:spPr bwMode="auto">
                    <a:xfrm>
                      <a:off x="0" y="0"/>
                      <a:ext cx="4485703" cy="251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E2A">
        <w:rPr>
          <w:b/>
          <w:bCs/>
        </w:rPr>
        <w:t xml:space="preserve">Figure1 </w:t>
      </w:r>
      <w:r w:rsidR="002D7E2A" w:rsidRPr="002D7E2A">
        <w:rPr>
          <w:b/>
          <w:bCs/>
        </w:rPr>
        <w:t xml:space="preserve">residual case sequence </w:t>
      </w:r>
      <w:proofErr w:type="spellStart"/>
      <w:r w:rsidR="002D7E2A" w:rsidRPr="002D7E2A">
        <w:rPr>
          <w:b/>
          <w:bCs/>
        </w:rPr>
        <w:t>plott</w:t>
      </w:r>
      <w:proofErr w:type="spellEnd"/>
      <w:r w:rsidR="002D7E2A" w:rsidRPr="002D7E2A">
        <w:rPr>
          <w:b/>
          <w:bCs/>
        </w:rPr>
        <w:t xml:space="preserve"> of </w:t>
      </w:r>
      <w:r w:rsidR="002D7E2A">
        <w:rPr>
          <w:rFonts w:hint="eastAsia"/>
          <w:b/>
          <w:bCs/>
        </w:rPr>
        <w:t>the</w:t>
      </w:r>
      <w:r w:rsidR="002D7E2A">
        <w:rPr>
          <w:b/>
          <w:bCs/>
        </w:rPr>
        <w:t xml:space="preserve"> </w:t>
      </w:r>
      <w:r w:rsidR="002D7E2A" w:rsidRPr="002D7E2A">
        <w:rPr>
          <w:b/>
          <w:bCs/>
        </w:rPr>
        <w:t>US</w:t>
      </w:r>
    </w:p>
    <w:p w14:paraId="13DA3E8D" w14:textId="77777777" w:rsidR="00ED7276" w:rsidRDefault="00ED7276" w:rsidP="00F50FE6">
      <w:pPr>
        <w:ind w:left="630"/>
        <w:rPr>
          <w:noProof/>
        </w:rPr>
      </w:pPr>
    </w:p>
    <w:p w14:paraId="23A97D79" w14:textId="0EF2CE1F" w:rsidR="00F50FE6" w:rsidRDefault="00F50FE6" w:rsidP="00F50FE6">
      <w:pPr>
        <w:ind w:left="630"/>
      </w:pPr>
      <w:r>
        <w:rPr>
          <w:noProof/>
        </w:rPr>
        <w:lastRenderedPageBreak/>
        <w:drawing>
          <wp:inline distT="0" distB="0" distL="0" distR="0" wp14:anchorId="1560542A" wp14:editId="1AC83DAD">
            <wp:extent cx="4657787" cy="2510035"/>
            <wp:effectExtent l="0" t="0" r="0" b="5080"/>
            <wp:docPr id="503446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9" t="4389" r="5301" b="4398"/>
                    <a:stretch/>
                  </pic:blipFill>
                  <pic:spPr bwMode="auto">
                    <a:xfrm>
                      <a:off x="0" y="0"/>
                      <a:ext cx="4658233" cy="25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1B0EF" w14:textId="62FE936F" w:rsidR="002D7E2A" w:rsidRDefault="002D7E2A" w:rsidP="002D7E2A">
      <w:pPr>
        <w:ind w:left="630"/>
        <w:jc w:val="center"/>
      </w:pPr>
      <w:r>
        <w:rPr>
          <w:b/>
          <w:bCs/>
        </w:rPr>
        <w:t xml:space="preserve">Figure2 </w:t>
      </w:r>
      <w:r w:rsidRPr="002D7E2A">
        <w:rPr>
          <w:b/>
          <w:bCs/>
        </w:rPr>
        <w:t>Prediction of future Insured damages against disasters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the</w:t>
      </w:r>
      <w:r>
        <w:rPr>
          <w:b/>
          <w:bCs/>
        </w:rPr>
        <w:t xml:space="preserve"> US</w:t>
      </w:r>
    </w:p>
    <w:p w14:paraId="38F7ABC1" w14:textId="77777777" w:rsidR="00ED7276" w:rsidRDefault="00ED7276" w:rsidP="002D7E2A">
      <w:pPr>
        <w:ind w:left="630"/>
        <w:jc w:val="center"/>
        <w:rPr>
          <w:noProof/>
        </w:rPr>
      </w:pPr>
    </w:p>
    <w:p w14:paraId="50948446" w14:textId="51A16DA1" w:rsidR="00F50FE6" w:rsidRDefault="00F50FE6" w:rsidP="002D7E2A">
      <w:pPr>
        <w:ind w:left="63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C8043E" wp14:editId="22953866">
            <wp:extent cx="4605332" cy="2561422"/>
            <wp:effectExtent l="0" t="0" r="5080" b="0"/>
            <wp:docPr id="2012457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" t="2822" r="5792" b="4084"/>
                    <a:stretch/>
                  </pic:blipFill>
                  <pic:spPr bwMode="auto">
                    <a:xfrm>
                      <a:off x="0" y="0"/>
                      <a:ext cx="4606419" cy="25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E2A">
        <w:rPr>
          <w:b/>
          <w:bCs/>
        </w:rPr>
        <w:t xml:space="preserve">Figure3 </w:t>
      </w:r>
      <w:r w:rsidR="002D7E2A" w:rsidRPr="002D7E2A">
        <w:rPr>
          <w:b/>
          <w:bCs/>
        </w:rPr>
        <w:t>Prediction of future income compensation ratio</w:t>
      </w:r>
      <w:r w:rsidR="002D7E2A">
        <w:rPr>
          <w:b/>
          <w:bCs/>
        </w:rPr>
        <w:t xml:space="preserve"> </w:t>
      </w:r>
      <w:r w:rsidR="002D7E2A">
        <w:rPr>
          <w:rFonts w:hint="eastAsia"/>
          <w:b/>
          <w:bCs/>
        </w:rPr>
        <w:t>of</w:t>
      </w:r>
      <w:r w:rsidR="002D7E2A">
        <w:rPr>
          <w:b/>
          <w:bCs/>
        </w:rPr>
        <w:t xml:space="preserve"> </w:t>
      </w:r>
      <w:r w:rsidR="002D7E2A">
        <w:rPr>
          <w:rFonts w:hint="eastAsia"/>
          <w:b/>
          <w:bCs/>
        </w:rPr>
        <w:t>the</w:t>
      </w:r>
      <w:r w:rsidR="002D7E2A">
        <w:rPr>
          <w:b/>
          <w:bCs/>
        </w:rPr>
        <w:t xml:space="preserve"> US</w:t>
      </w:r>
    </w:p>
    <w:p w14:paraId="114B5564" w14:textId="091BF7A2" w:rsidR="00F50FE6" w:rsidRPr="00ED7276" w:rsidRDefault="00ED7276" w:rsidP="00E960DD">
      <w:pPr>
        <w:ind w:firstLineChars="200" w:firstLine="420"/>
        <w:rPr>
          <w:rFonts w:hint="eastAsia"/>
        </w:rPr>
      </w:pPr>
      <w:r w:rsidRPr="00ED7276">
        <w:rPr>
          <w:rFonts w:hint="eastAsia"/>
        </w:rPr>
        <w:t>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D7276">
        <w:t>为3</w:t>
      </w:r>
      <w:r>
        <w:rPr>
          <w:rFonts w:hint="eastAsia"/>
        </w:rPr>
        <w:t>，图中趋势所示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</w:t>
      </w:r>
      <w:r w:rsidRPr="00ED7276">
        <w:t>数值普遍低于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D7276">
        <w:t>，</w:t>
      </w:r>
      <w:r>
        <w:rPr>
          <w:rFonts w:hint="eastAsia"/>
        </w:rPr>
        <w:t>可以认为</w:t>
      </w:r>
      <w:r w:rsidR="00E960DD">
        <w:rPr>
          <w:rFonts w:hint="eastAsia"/>
        </w:rPr>
        <w:t>难以</w:t>
      </w:r>
      <w:r w:rsidR="00E960DD">
        <w:rPr>
          <w:rFonts w:hint="eastAsia"/>
        </w:rPr>
        <w:t>收回成本，亏本风险较高， 故在美国地区的承保需要慎重考察再做决定。</w:t>
      </w:r>
    </w:p>
    <w:p w14:paraId="44D4445B" w14:textId="31A5FA66" w:rsidR="009612F8" w:rsidRDefault="00F50FE6" w:rsidP="00780C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英国：</w:t>
      </w:r>
    </w:p>
    <w:p w14:paraId="6BE890B8" w14:textId="2DFA1DD8" w:rsidR="00F50FE6" w:rsidRDefault="00F50FE6" w:rsidP="00ED7276">
      <w:pPr>
        <w:ind w:firstLineChars="200" w:firstLine="420"/>
      </w:pPr>
      <w:r>
        <w:rPr>
          <w:rFonts w:hint="eastAsia"/>
        </w:rPr>
        <w:t>同样我们可以得到英国的</w:t>
      </w:r>
      <w:r w:rsidRPr="003B1FA5">
        <w:object w:dxaOrig="1133" w:dyaOrig="314" w14:anchorId="50F3A47D">
          <v:shape id="_x0000_i1026" type="#_x0000_t75" style="width:57.05pt;height:15.6pt" o:ole="">
            <v:imagedata r:id="rId5" o:title=""/>
          </v:shape>
          <o:OLEObject Type="Embed" ProgID="Equation.AxMath" ShapeID="_x0000_i1026" DrawAspect="Content" ObjectID="_1768638475" r:id="rId10"/>
        </w:object>
      </w:r>
    </w:p>
    <w:p w14:paraId="708898FA" w14:textId="116FCD0D" w:rsidR="00F50FE6" w:rsidRPr="00A168B5" w:rsidRDefault="00F50FE6" w:rsidP="00F50FE6">
      <w:pPr>
        <w:pStyle w:val="a3"/>
        <w:ind w:leftChars="-1" w:left="-2" w:firstLineChars="0" w:firstLine="0"/>
        <w:jc w:val="center"/>
      </w:pPr>
      <w:r w:rsidRPr="00A168B5">
        <w:rPr>
          <w:b/>
          <w:bCs/>
          <w:spacing w:val="-1"/>
        </w:rPr>
        <w:t>Table</w:t>
      </w:r>
      <w:r w:rsidRPr="00A168B5">
        <w:rPr>
          <w:spacing w:val="-1"/>
        </w:rPr>
        <w:t xml:space="preserve"> </w:t>
      </w:r>
      <w:r>
        <w:rPr>
          <w:b/>
          <w:bCs/>
          <w:spacing w:val="-1"/>
        </w:rPr>
        <w:t>2</w:t>
      </w:r>
      <w:r w:rsidRPr="00A168B5">
        <w:rPr>
          <w:b/>
          <w:bCs/>
          <w:spacing w:val="-1"/>
        </w:rPr>
        <w:t>:</w:t>
      </w:r>
      <w:r w:rsidRPr="00A168B5">
        <w:rPr>
          <w:spacing w:val="-1"/>
        </w:rPr>
        <w:t xml:space="preserve"> </w:t>
      </w:r>
      <w:r w:rsidRPr="00F50FE6">
        <w:rPr>
          <w:b/>
          <w:bCs/>
          <w:spacing w:val="-1"/>
        </w:rPr>
        <w:t xml:space="preserve">Multiple regression coefficients for </w:t>
      </w:r>
      <w:r w:rsidR="002D7E2A">
        <w:rPr>
          <w:rFonts w:hint="eastAsia"/>
          <w:b/>
          <w:bCs/>
          <w:spacing w:val="-1"/>
        </w:rPr>
        <w:t>the</w:t>
      </w:r>
      <w:r w:rsidR="002D7E2A">
        <w:rPr>
          <w:b/>
          <w:bCs/>
          <w:spacing w:val="-1"/>
        </w:rPr>
        <w:t xml:space="preserve"> </w:t>
      </w:r>
      <w:r w:rsidRPr="00F50FE6">
        <w:rPr>
          <w:b/>
          <w:bCs/>
          <w:spacing w:val="-1"/>
        </w:rPr>
        <w:t>U</w:t>
      </w:r>
      <w:r>
        <w:rPr>
          <w:b/>
          <w:bCs/>
          <w:spacing w:val="-1"/>
        </w:rPr>
        <w:t>K</w:t>
      </w:r>
      <w:r w:rsidRPr="00F50FE6">
        <w:rPr>
          <w:b/>
          <w:bCs/>
          <w:spacing w:val="-1"/>
        </w:rPr>
        <w:t xml:space="preserve"> data</w:t>
      </w:r>
    </w:p>
    <w:p w14:paraId="6E41E204" w14:textId="77777777" w:rsidR="00F50FE6" w:rsidRPr="00F50FE6" w:rsidRDefault="00F50FE6" w:rsidP="00F50FE6">
      <w:pPr>
        <w:pStyle w:val="a3"/>
        <w:ind w:left="990" w:firstLineChars="0" w:firstLine="0"/>
      </w:pPr>
    </w:p>
    <w:tbl>
      <w:tblPr>
        <w:tblStyle w:val="20"/>
        <w:tblW w:w="4187" w:type="dxa"/>
        <w:tblInd w:w="2595" w:type="dxa"/>
        <w:tblLook w:val="04A0" w:firstRow="1" w:lastRow="0" w:firstColumn="1" w:lastColumn="0" w:noHBand="0" w:noVBand="1"/>
      </w:tblPr>
      <w:tblGrid>
        <w:gridCol w:w="1824"/>
        <w:gridCol w:w="2363"/>
      </w:tblGrid>
      <w:tr w:rsidR="00F50FE6" w14:paraId="3330DD2D" w14:textId="77777777" w:rsidTr="00F5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7A094F4C" w14:textId="77777777" w:rsidR="00F50FE6" w:rsidRPr="007B0991" w:rsidRDefault="00000000" w:rsidP="00F50FE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63" w:type="dxa"/>
          </w:tcPr>
          <w:p w14:paraId="1A8300C7" w14:textId="7C6AA967" w:rsidR="00F50FE6" w:rsidRPr="007B0991" w:rsidRDefault="00F50FE6" w:rsidP="00F50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6505">
              <w:t>-228801710.092202</w:t>
            </w:r>
          </w:p>
        </w:tc>
      </w:tr>
      <w:tr w:rsidR="00F50FE6" w14:paraId="109C000E" w14:textId="77777777" w:rsidTr="00F5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74A1D1D3" w14:textId="77777777" w:rsidR="00F50FE6" w:rsidRPr="007B0991" w:rsidRDefault="00000000" w:rsidP="00F50FE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3" w:type="dxa"/>
          </w:tcPr>
          <w:p w14:paraId="54C1FF5F" w14:textId="22F1DCF0" w:rsidR="00F50FE6" w:rsidRPr="007B0991" w:rsidRDefault="00F50FE6" w:rsidP="00F50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505">
              <w:t>1136571769.55737</w:t>
            </w:r>
          </w:p>
        </w:tc>
      </w:tr>
      <w:tr w:rsidR="00F50FE6" w14:paraId="6EE7D4B6" w14:textId="77777777" w:rsidTr="00F50FE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4" w:type="dxa"/>
          </w:tcPr>
          <w:p w14:paraId="4BBAC7EA" w14:textId="77777777" w:rsidR="00F50FE6" w:rsidRPr="007B0991" w:rsidRDefault="00000000" w:rsidP="00F50FE6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3" w:type="dxa"/>
          </w:tcPr>
          <w:p w14:paraId="0008C087" w14:textId="33B5BB3B" w:rsidR="00F50FE6" w:rsidRPr="007B0991" w:rsidRDefault="00F50FE6" w:rsidP="00F50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505">
              <w:t>598016648.539741</w:t>
            </w:r>
          </w:p>
        </w:tc>
      </w:tr>
    </w:tbl>
    <w:p w14:paraId="62313D50" w14:textId="77777777" w:rsidR="00ED7276" w:rsidRDefault="00ED7276" w:rsidP="00F50FE6">
      <w:pPr>
        <w:pStyle w:val="a3"/>
        <w:ind w:left="990" w:firstLineChars="0" w:firstLine="0"/>
        <w:rPr>
          <w:noProof/>
        </w:rPr>
      </w:pPr>
    </w:p>
    <w:p w14:paraId="411FBFAE" w14:textId="7D5FE06A" w:rsidR="00F50FE6" w:rsidRDefault="00F50FE6" w:rsidP="00F50FE6">
      <w:pPr>
        <w:pStyle w:val="a3"/>
        <w:ind w:left="990" w:firstLineChars="0" w:firstLine="0"/>
      </w:pPr>
      <w:r>
        <w:rPr>
          <w:noProof/>
        </w:rPr>
        <w:lastRenderedPageBreak/>
        <w:drawing>
          <wp:inline distT="0" distB="0" distL="0" distR="0" wp14:anchorId="002EAC05" wp14:editId="7C1CF13E">
            <wp:extent cx="4459557" cy="2544632"/>
            <wp:effectExtent l="0" t="0" r="0" b="8255"/>
            <wp:docPr id="5767139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2" t="2508" r="7591" b="5025"/>
                    <a:stretch/>
                  </pic:blipFill>
                  <pic:spPr bwMode="auto">
                    <a:xfrm>
                      <a:off x="0" y="0"/>
                      <a:ext cx="4459832" cy="25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B584C" w14:textId="77777777" w:rsidR="00ED7276" w:rsidRDefault="002D7E2A" w:rsidP="002D7E2A">
      <w:pPr>
        <w:pStyle w:val="a3"/>
        <w:ind w:left="990" w:firstLineChars="0" w:firstLine="0"/>
        <w:jc w:val="center"/>
        <w:rPr>
          <w:noProof/>
        </w:rPr>
      </w:pPr>
      <w:r>
        <w:rPr>
          <w:b/>
          <w:bCs/>
        </w:rPr>
        <w:t xml:space="preserve">Figure4 </w:t>
      </w:r>
      <w:r w:rsidRPr="002D7E2A">
        <w:rPr>
          <w:b/>
          <w:bCs/>
        </w:rPr>
        <w:t xml:space="preserve">residual case sequence </w:t>
      </w:r>
      <w:proofErr w:type="spellStart"/>
      <w:r w:rsidRPr="002D7E2A">
        <w:rPr>
          <w:b/>
          <w:bCs/>
        </w:rPr>
        <w:t>plott</w:t>
      </w:r>
      <w:proofErr w:type="spellEnd"/>
      <w:r w:rsidRPr="002D7E2A">
        <w:rPr>
          <w:b/>
          <w:bCs/>
        </w:rPr>
        <w:t xml:space="preserve"> of </w:t>
      </w:r>
      <w:r>
        <w:rPr>
          <w:rFonts w:hint="eastAsia"/>
          <w:b/>
          <w:bCs/>
        </w:rPr>
        <w:t>the</w:t>
      </w:r>
      <w:r>
        <w:rPr>
          <w:b/>
          <w:bCs/>
        </w:rPr>
        <w:t xml:space="preserve"> UK</w:t>
      </w:r>
      <w:r>
        <w:rPr>
          <w:noProof/>
        </w:rPr>
        <w:t xml:space="preserve"> </w:t>
      </w:r>
    </w:p>
    <w:p w14:paraId="674A1A74" w14:textId="53FA43E4" w:rsidR="002D7E2A" w:rsidRDefault="00F50FE6" w:rsidP="002D7E2A">
      <w:pPr>
        <w:pStyle w:val="a3"/>
        <w:ind w:left="990" w:firstLineChars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292E7B" wp14:editId="26ACF330">
            <wp:extent cx="4639834" cy="2578675"/>
            <wp:effectExtent l="0" t="0" r="8890" b="0"/>
            <wp:docPr id="7771908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4" t="2194" r="5465" b="4084"/>
                    <a:stretch/>
                  </pic:blipFill>
                  <pic:spPr bwMode="auto">
                    <a:xfrm>
                      <a:off x="0" y="0"/>
                      <a:ext cx="4640929" cy="25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98A30" w14:textId="67809FF2" w:rsidR="00ED7276" w:rsidRDefault="002D7E2A" w:rsidP="00E960DD">
      <w:pPr>
        <w:pStyle w:val="a3"/>
        <w:ind w:left="990" w:firstLineChars="0" w:firstLine="0"/>
        <w:jc w:val="center"/>
        <w:rPr>
          <w:rFonts w:hint="eastAsia"/>
        </w:rPr>
      </w:pPr>
      <w:r>
        <w:rPr>
          <w:b/>
          <w:bCs/>
        </w:rPr>
        <w:t xml:space="preserve">Figure5 </w:t>
      </w:r>
      <w:r w:rsidRPr="002D7E2A">
        <w:rPr>
          <w:b/>
          <w:bCs/>
        </w:rPr>
        <w:t>Prediction of future Insured damages against disasters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of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the</w:t>
      </w:r>
      <w:r>
        <w:rPr>
          <w:b/>
          <w:bCs/>
        </w:rPr>
        <w:t xml:space="preserve"> UK</w:t>
      </w:r>
    </w:p>
    <w:p w14:paraId="2613433E" w14:textId="339B3C00" w:rsidR="00F50FE6" w:rsidRDefault="00F50FE6" w:rsidP="002D7E2A">
      <w:pPr>
        <w:pStyle w:val="a3"/>
        <w:ind w:left="990" w:firstLineChars="0" w:firstLine="0"/>
        <w:jc w:val="center"/>
      </w:pPr>
      <w:r>
        <w:rPr>
          <w:noProof/>
        </w:rPr>
        <w:drawing>
          <wp:inline distT="0" distB="0" distL="0" distR="0" wp14:anchorId="7604A3F4" wp14:editId="4571A387">
            <wp:extent cx="4554269" cy="2518662"/>
            <wp:effectExtent l="0" t="0" r="0" b="0"/>
            <wp:docPr id="12240715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2" t="4075" r="5301" b="4397"/>
                    <a:stretch/>
                  </pic:blipFill>
                  <pic:spPr bwMode="auto">
                    <a:xfrm>
                      <a:off x="0" y="0"/>
                      <a:ext cx="4554705" cy="25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E2A">
        <w:rPr>
          <w:b/>
          <w:bCs/>
        </w:rPr>
        <w:t xml:space="preserve">Figure6 </w:t>
      </w:r>
      <w:r w:rsidR="002D7E2A" w:rsidRPr="002D7E2A">
        <w:rPr>
          <w:b/>
          <w:bCs/>
        </w:rPr>
        <w:t>Prediction of future income compensation ratio</w:t>
      </w:r>
      <w:r w:rsidR="002D7E2A">
        <w:rPr>
          <w:b/>
          <w:bCs/>
        </w:rPr>
        <w:t xml:space="preserve"> </w:t>
      </w:r>
      <w:r w:rsidR="002D7E2A">
        <w:rPr>
          <w:rFonts w:hint="eastAsia"/>
          <w:b/>
          <w:bCs/>
        </w:rPr>
        <w:t>of</w:t>
      </w:r>
      <w:r w:rsidR="002D7E2A">
        <w:rPr>
          <w:b/>
          <w:bCs/>
        </w:rPr>
        <w:t xml:space="preserve"> </w:t>
      </w:r>
      <w:r w:rsidR="002D7E2A">
        <w:rPr>
          <w:rFonts w:hint="eastAsia"/>
          <w:b/>
          <w:bCs/>
        </w:rPr>
        <w:t>the</w:t>
      </w:r>
      <w:r w:rsidR="002D7E2A">
        <w:rPr>
          <w:b/>
          <w:bCs/>
        </w:rPr>
        <w:t xml:space="preserve"> UK</w:t>
      </w:r>
    </w:p>
    <w:p w14:paraId="4C84F4FC" w14:textId="4670DC18" w:rsidR="00E960DD" w:rsidRDefault="009612F8" w:rsidP="00E960DD">
      <w:pPr>
        <w:ind w:firstLineChars="200" w:firstLine="420"/>
        <w:rPr>
          <w:rFonts w:hint="eastAsia"/>
        </w:rPr>
      </w:pPr>
      <w:r>
        <w:br w:type="page"/>
      </w:r>
      <w:r w:rsidR="00E960DD" w:rsidRPr="00ED7276">
        <w:lastRenderedPageBreak/>
        <w:t>英国</w:t>
      </w:r>
      <w:r w:rsidR="00E960DD">
        <w:rPr>
          <w:rFonts w:hint="eastAsia"/>
        </w:rPr>
        <w:t>地区的</w:t>
      </w:r>
      <w:r w:rsidR="00E960DD" w:rsidRPr="00ED7276">
        <w:t>K值总体未来十年呈现上升趋势，</w:t>
      </w:r>
      <w:proofErr w:type="gramStart"/>
      <w:r w:rsidR="00E960DD" w:rsidRPr="00ED7276">
        <w:t>且显著</w:t>
      </w:r>
      <w:proofErr w:type="gramEnd"/>
      <w:r w:rsidR="00E960DD" w:rsidRPr="00ED7276">
        <w:t>高于3</w:t>
      </w:r>
      <w:r w:rsidR="00E960DD">
        <w:rPr>
          <w:rFonts w:hint="eastAsia"/>
        </w:rPr>
        <w:t>，根据我们的模型判断英国地区承保亏本风险较小，即使出现极端天气的影响，投保人数的敏感性也会显著高于赔付，故英国相应地区的承保较为推荐。</w:t>
      </w:r>
    </w:p>
    <w:p w14:paraId="3769E8D9" w14:textId="23B73ADF" w:rsidR="003C00A1" w:rsidRPr="00E960DD" w:rsidRDefault="003C00A1" w:rsidP="009612F8">
      <w:pPr>
        <w:widowControl/>
        <w:jc w:val="left"/>
      </w:pPr>
    </w:p>
    <w:sectPr w:rsidR="003C00A1" w:rsidRPr="00E96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40F8"/>
    <w:multiLevelType w:val="hybridMultilevel"/>
    <w:tmpl w:val="387C462A"/>
    <w:lvl w:ilvl="0" w:tplc="BE02F4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F84E23"/>
    <w:multiLevelType w:val="hybridMultilevel"/>
    <w:tmpl w:val="943A1C6A"/>
    <w:lvl w:ilvl="0" w:tplc="BA42F66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num w:numId="1" w16cid:durableId="186137859">
    <w:abstractNumId w:val="1"/>
  </w:num>
  <w:num w:numId="2" w16cid:durableId="99491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79"/>
    <w:rsid w:val="00082A81"/>
    <w:rsid w:val="001A5320"/>
    <w:rsid w:val="002D7E2A"/>
    <w:rsid w:val="0038139A"/>
    <w:rsid w:val="003C00A1"/>
    <w:rsid w:val="00713E79"/>
    <w:rsid w:val="00780CD6"/>
    <w:rsid w:val="00843F69"/>
    <w:rsid w:val="009612F8"/>
    <w:rsid w:val="009616D7"/>
    <w:rsid w:val="00A054C9"/>
    <w:rsid w:val="00A96F71"/>
    <w:rsid w:val="00B72014"/>
    <w:rsid w:val="00BE704C"/>
    <w:rsid w:val="00DF067C"/>
    <w:rsid w:val="00E960DD"/>
    <w:rsid w:val="00ED7276"/>
    <w:rsid w:val="00F5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4CEB"/>
  <w15:chartTrackingRefBased/>
  <w15:docId w15:val="{A2F0A2D7-9EC3-429C-93F6-2717904F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12F8"/>
    <w:pPr>
      <w:ind w:firstLineChars="200" w:firstLine="420"/>
    </w:pPr>
  </w:style>
  <w:style w:type="table" w:styleId="a4">
    <w:name w:val="Table Grid"/>
    <w:basedOn w:val="a1"/>
    <w:uiPriority w:val="39"/>
    <w:rsid w:val="00961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612F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612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612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9612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3">
    <w:name w:val="Grid Table 6 Colorful Accent 3"/>
    <w:basedOn w:val="a1"/>
    <w:uiPriority w:val="51"/>
    <w:rsid w:val="009612F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0">
    <w:name w:val="List Table 6 Colorful Accent 3"/>
    <w:basedOn w:val="a1"/>
    <w:uiPriority w:val="51"/>
    <w:rsid w:val="009612F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0">
    <w:name w:val="List Table 2"/>
    <w:basedOn w:val="a1"/>
    <w:uiPriority w:val="47"/>
    <w:rsid w:val="00F50FE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50F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城源 蔡</dc:creator>
  <cp:keywords/>
  <dc:description/>
  <cp:lastModifiedBy>城源 蔡</cp:lastModifiedBy>
  <cp:revision>5</cp:revision>
  <dcterms:created xsi:type="dcterms:W3CDTF">2024-02-04T15:43:00Z</dcterms:created>
  <dcterms:modified xsi:type="dcterms:W3CDTF">2024-02-05T03:41:00Z</dcterms:modified>
</cp:coreProperties>
</file>