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80F" w14:textId="77777777" w:rsidR="0048577A" w:rsidRPr="001812D6" w:rsidRDefault="0048577A">
      <w:pPr>
        <w:rPr>
          <w:rFonts w:ascii="Times New Roman" w:hAnsi="Times New Roman" w:cs="Times New Roman"/>
          <w:sz w:val="24"/>
          <w:szCs w:val="24"/>
        </w:rPr>
      </w:pPr>
    </w:p>
    <w:p w14:paraId="7E729DBA" w14:textId="50C8A95D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尺度定义表如表所示。</w:t>
      </w:r>
    </w:p>
    <w:p w14:paraId="2FD3B419" w14:textId="3D86CFB9" w:rsidR="0048577A" w:rsidRPr="001812D6" w:rsidRDefault="0048577A" w:rsidP="0048577A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1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Scale definition table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A33C3E" w:rsidRPr="001812D6" w14:paraId="0D30AEFF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19DBD0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尺度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1127C2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含义</w:t>
            </w:r>
          </w:p>
        </w:tc>
      </w:tr>
      <w:tr w:rsidR="00A33C3E" w:rsidRPr="001812D6" w14:paraId="0F0454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FB6182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7CA17EB" w14:textId="69718986" w:rsidR="00A33C3E" w:rsidRPr="001812D6" w:rsidRDefault="00000000" w:rsidP="00DA0E5C">
            <w:pPr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的影响是相同的</w:t>
            </w:r>
          </w:p>
        </w:tc>
      </w:tr>
      <w:tr w:rsidR="00A33C3E" w:rsidRPr="001812D6" w14:paraId="2EEB47C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204EAD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6770442" w14:textId="0F6653C1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的影响稍强</w:t>
            </w:r>
          </w:p>
        </w:tc>
      </w:tr>
      <w:tr w:rsidR="00A33C3E" w:rsidRPr="001812D6" w14:paraId="214B4818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32D2AB5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6CC28F0" w14:textId="505FFB9B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的影响强</w:t>
            </w:r>
          </w:p>
        </w:tc>
      </w:tr>
      <w:tr w:rsidR="00A33C3E" w:rsidRPr="001812D6" w14:paraId="2599A2E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0199071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4FC72314" w14:textId="4A791CFE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的影响明显更强</w:t>
            </w:r>
          </w:p>
        </w:tc>
      </w:tr>
      <w:tr w:rsidR="00A33C3E" w:rsidRPr="001812D6" w14:paraId="50D5C705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20BAD06" w14:textId="77777777" w:rsidR="00A33C3E" w:rsidRPr="001812D6" w:rsidRDefault="00A33C3E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4F973A1" w14:textId="45A1897D" w:rsidR="00A33C3E" w:rsidRPr="001812D6" w:rsidRDefault="00000000" w:rsidP="00DA0E5C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比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的影响绝对更强</w:t>
            </w:r>
          </w:p>
        </w:tc>
      </w:tr>
      <w:tr w:rsidR="00A33C3E" w:rsidRPr="001812D6" w14:paraId="2C4771A7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440FB5C" w14:textId="77777777" w:rsidR="00A33C3E" w:rsidRPr="001812D6" w:rsidRDefault="00A33C3E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2,4,6,8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3BF7CB85" w14:textId="02614C9E" w:rsidR="00A33C3E" w:rsidRPr="001812D6" w:rsidRDefault="00000000" w:rsidP="00DA0E5C">
            <w:pPr>
              <w:rPr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的影响之比在上述两个相邻等级之间</w:t>
            </w:r>
          </w:p>
        </w:tc>
      </w:tr>
      <w:tr w:rsidR="00A33C3E" w:rsidRPr="001812D6" w14:paraId="28943530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DFE052" w14:textId="77777777" w:rsidR="00A33C3E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66AD7CA8" w14:textId="6D5054D8" w:rsidR="00A33C3E" w:rsidRPr="001812D6" w:rsidRDefault="00000000" w:rsidP="00DA0E5C">
            <w:pPr>
              <w:rPr>
                <w:i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 w:rsidR="00A33C3E" w:rsidRPr="001812D6">
              <w:rPr>
                <w:iCs/>
                <w:sz w:val="24"/>
                <w:szCs w:val="24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的影响之比为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oMath>
            <w:r w:rsidR="00A33C3E" w:rsidRPr="001812D6">
              <w:rPr>
                <w:sz w:val="24"/>
                <w:szCs w:val="24"/>
              </w:rPr>
              <w:t>的相反数</w:t>
            </w:r>
          </w:p>
        </w:tc>
      </w:tr>
    </w:tbl>
    <w:p w14:paraId="58C94B73" w14:textId="77777777" w:rsidR="00A33C3E" w:rsidRPr="001812D6" w:rsidRDefault="00A33C3E" w:rsidP="00A33C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</w:p>
    <w:p w14:paraId="7A9419E5" w14:textId="4588C930" w:rsidR="00A33C3E" w:rsidRPr="001812D6" w:rsidRDefault="0048577A" w:rsidP="004857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2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Average random consistency index</w:t>
      </w:r>
    </w:p>
    <w:tbl>
      <w:tblPr>
        <w:tblStyle w:val="a3"/>
        <w:tblW w:w="8636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A33C3E" w:rsidRPr="001812D6" w14:paraId="5C0F0C55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24CFF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9408E35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9C4A3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2D8EED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74F582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F5331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B60DA4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93611F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A5BEBD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73C9B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</w:tc>
      </w:tr>
      <w:tr w:rsidR="00A33C3E" w:rsidRPr="001812D6" w14:paraId="09C47361" w14:textId="77777777" w:rsidTr="00DA0E5C">
        <w:trPr>
          <w:trHeight w:val="723"/>
          <w:jc w:val="center"/>
        </w:trPr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90D51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RI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B60C09C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69C9CE87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</w:tcBorders>
            <w:vAlign w:val="center"/>
          </w:tcPr>
          <w:p w14:paraId="7E04F12C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1EA526EA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40D29149" w14:textId="77777777" w:rsidR="00A33C3E" w:rsidRPr="001812D6" w:rsidRDefault="00A33C3E" w:rsidP="00DA0E5C">
            <w:pPr>
              <w:widowControl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1.12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691C72C9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36C7DFD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1.41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7429F4C6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1.46</m:t>
                </m:r>
              </m:oMath>
            </m:oMathPara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8A05408" w14:textId="77777777" w:rsidR="00A33C3E" w:rsidRPr="001812D6" w:rsidRDefault="00A33C3E" w:rsidP="00DA0E5C">
            <w:pPr>
              <w:widowControl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1.49</m:t>
                </m:r>
              </m:oMath>
            </m:oMathPara>
          </w:p>
        </w:tc>
      </w:tr>
    </w:tbl>
    <w:p w14:paraId="4D7555E6" w14:textId="32E5A714" w:rsidR="00A33C3E" w:rsidRPr="001812D6" w:rsidRDefault="00000000" w:rsidP="00A33C3E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CI=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kern w:val="0"/>
                              <w:sz w:val="24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-n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      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CR=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CI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RI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</m:eqArr>
            </m:e>
          </m:d>
        </m:oMath>
      </m:oMathPara>
    </w:p>
    <w:p w14:paraId="7957F702" w14:textId="458C775F" w:rsidR="00A33C3E" w:rsidRPr="00A33C3E" w:rsidRDefault="00A33C3E" w:rsidP="00A33C3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2C5FC09" w14:textId="42BECA66" w:rsidR="00A33C3E" w:rsidRPr="00A33C3E" w:rsidRDefault="00A33C3E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798E4A51" wp14:editId="7FF3635D">
            <wp:extent cx="5913912" cy="4276136"/>
            <wp:effectExtent l="0" t="0" r="0" b="0"/>
            <wp:docPr id="3412211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1174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99" cy="428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8FEB" w14:textId="45BB6A5A" w:rsidR="001812D6" w:rsidRDefault="0048577A" w:rsidP="001812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t>Figure1 Framework diagram of two-level evaluation index architecture</w:t>
      </w:r>
    </w:p>
    <w:p w14:paraId="62E819B0" w14:textId="73D4242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3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The weight of each primary indicator</w:t>
      </w:r>
    </w:p>
    <w:p w14:paraId="6844F182" w14:textId="767D1DD5" w:rsidR="0048577A" w:rsidRDefault="0048577A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B56636C" wp14:editId="2380E91E">
            <wp:extent cx="5274310" cy="2970530"/>
            <wp:effectExtent l="0" t="0" r="2540" b="1270"/>
            <wp:docPr id="3753920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2DAE" w14:textId="62E59D55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CR=0.0234</m:t>
          </m:r>
        </m:oMath>
      </m:oMathPara>
    </w:p>
    <w:p w14:paraId="2D87DD0B" w14:textId="77777777" w:rsidR="001812D6" w:rsidRPr="001812D6" w:rsidRDefault="001812D6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</w:p>
    <w:p w14:paraId="7D2E6EC4" w14:textId="26DB3741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lastRenderedPageBreak/>
        <w:t xml:space="preserve">Table 4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The weight of secondary indicators of humanistic values</w:t>
      </w:r>
    </w:p>
    <w:p w14:paraId="55C5347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CFB82F" wp14:editId="2C8550C6">
            <wp:extent cx="5274310" cy="762000"/>
            <wp:effectExtent l="0" t="0" r="2540" b="0"/>
            <wp:docPr id="9991695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1F19" w14:textId="5F4A7591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097B5A62" w14:textId="54B46697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5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</w:t>
      </w:r>
      <w:proofErr w:type="spellStart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ofhistorical</w:t>
      </w:r>
      <w:proofErr w:type="spellEnd"/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values</w:t>
      </w:r>
    </w:p>
    <w:p w14:paraId="2DB8952C" w14:textId="77777777" w:rsidR="0048577A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8D9A1A3" wp14:editId="240B3AE5">
            <wp:extent cx="5274310" cy="1399540"/>
            <wp:effectExtent l="0" t="0" r="2540" b="0"/>
            <wp:docPr id="6422447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6C67" w14:textId="5037B32E" w:rsidR="001812D6" w:rsidRP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=2.0000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1D3F8650" w14:textId="46062012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6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The weight of secondary indicators of economic values </w:t>
      </w:r>
    </w:p>
    <w:p w14:paraId="76A287CC" w14:textId="77777777" w:rsidR="0048577A" w:rsidRPr="001812D6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1ADDC2" wp14:editId="25417732">
            <wp:extent cx="5274310" cy="1023620"/>
            <wp:effectExtent l="0" t="0" r="2540" b="5080"/>
            <wp:docPr id="19559748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AED4" w14:textId="38A53048" w:rsidR="001812D6" w:rsidRDefault="00000000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=3.0537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CR=0.0516</m:t>
          </m:r>
        </m:oMath>
      </m:oMathPara>
    </w:p>
    <w:p w14:paraId="54409FDC" w14:textId="25395ED4" w:rsidR="0048577A" w:rsidRPr="001812D6" w:rsidRDefault="0048577A" w:rsidP="0048577A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Table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7</w:t>
      </w:r>
      <w:r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 xml:space="preserve"> </w:t>
      </w:r>
      <w:r w:rsidR="001812D6" w:rsidRPr="001812D6">
        <w:rPr>
          <w:rFonts w:ascii="Times New Roman" w:eastAsia="宋体" w:hAnsi="Times New Roman" w:cs="Times New Roman"/>
          <w:b/>
          <w:bCs/>
          <w:sz w:val="24"/>
          <w:szCs w:val="24"/>
          <w:lang w:bidi="ar"/>
        </w:rPr>
        <w:t>The weight of secondary indicators of community values</w:t>
      </w:r>
    </w:p>
    <w:p w14:paraId="4674B2FA" w14:textId="0E7E4E68" w:rsidR="001812D6" w:rsidRPr="001812D6" w:rsidRDefault="006F1AB4" w:rsidP="001812D6">
      <w:pPr>
        <w:widowControl/>
        <w:spacing w:line="480" w:lineRule="auto"/>
        <w:jc w:val="center"/>
        <w:rPr>
          <w:rFonts w:ascii="Times New Roman" w:eastAsia="宋体" w:hAnsi="Times New Roman" w:cs="Times New Roman"/>
          <w:b/>
          <w:bCs/>
          <w:noProof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BA1267" wp14:editId="4151936A">
            <wp:extent cx="5274310" cy="1612265"/>
            <wp:effectExtent l="0" t="0" r="2540" b="6985"/>
            <wp:docPr id="5337458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2D6" w:rsidRPr="001812D6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=4.0626</m:t>
          </m:r>
          <m:r>
            <w:rPr>
              <w:rFonts w:ascii="Cambria Math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hAnsi="Cambria Math" w:cs="Times New Roman"/>
              <w:sz w:val="24"/>
              <w:szCs w:val="24"/>
            </w:rPr>
            <m:t>CR=0.0000</m:t>
          </m:r>
        </m:oMath>
      </m:oMathPara>
    </w:p>
    <w:p w14:paraId="7A60B25D" w14:textId="0602EE00" w:rsidR="006F1AB4" w:rsidRPr="006F1AB4" w:rsidRDefault="006F1AB4" w:rsidP="006F1AB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AB75986" w14:textId="624DFA6B" w:rsidR="00A33C3E" w:rsidRPr="00A33C3E" w:rsidRDefault="0048577A" w:rsidP="00A33C3E">
      <w:pPr>
        <w:widowControl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lastRenderedPageBreak/>
        <w:t>Table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812D6"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8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Partial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pacing w:val="-1"/>
          <w:sz w:val="24"/>
          <w:szCs w:val="24"/>
        </w:rPr>
        <w:t>symbol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used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812D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paper</w:t>
      </w:r>
    </w:p>
    <w:tbl>
      <w:tblPr>
        <w:tblStyle w:val="a3"/>
        <w:tblW w:w="9532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7166"/>
      </w:tblGrid>
      <w:tr w:rsidR="00D136C3" w:rsidRPr="001812D6" w14:paraId="33C08061" w14:textId="77777777" w:rsidTr="00DA0E5C">
        <w:trPr>
          <w:trHeight w:val="56"/>
          <w:jc w:val="center"/>
        </w:trPr>
        <w:tc>
          <w:tcPr>
            <w:tcW w:w="236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C5A584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符号</w:t>
            </w:r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C6B8455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说明</w:t>
            </w:r>
          </w:p>
        </w:tc>
      </w:tr>
      <w:tr w:rsidR="00D136C3" w:rsidRPr="001812D6" w14:paraId="73D47549" w14:textId="77777777" w:rsidTr="00DA0E5C">
        <w:trPr>
          <w:trHeight w:val="860"/>
          <w:jc w:val="center"/>
        </w:trPr>
        <w:tc>
          <w:tcPr>
            <w:tcW w:w="2366" w:type="dxa"/>
            <w:tcBorders>
              <w:top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09D85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7166" w:type="dxa"/>
            <w:tcBorders>
              <w:top w:val="single" w:sz="18" w:space="0" w:color="auto"/>
              <w:left w:val="single" w:sz="18" w:space="0" w:color="auto"/>
              <w:bottom w:val="nil"/>
            </w:tcBorders>
            <w:vAlign w:val="center"/>
          </w:tcPr>
          <w:p w14:paraId="43BE3A6E" w14:textId="347777CA" w:rsidR="00D136C3" w:rsidRPr="001812D6" w:rsidRDefault="00D136C3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准则类别编号，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i=1,2,3…</m:t>
              </m:r>
            </m:oMath>
          </w:p>
        </w:tc>
      </w:tr>
      <w:tr w:rsidR="00D136C3" w:rsidRPr="001812D6" w14:paraId="06108ED9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38A45DDE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4B1DA4E" w14:textId="5F95B9E6" w:rsidR="00D136C3" w:rsidRPr="001812D6" w:rsidRDefault="006F1AB4" w:rsidP="00DA0E5C">
            <w:pPr>
              <w:rPr>
                <w:i/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</w:t>
            </w:r>
            <w:r w:rsidR="00D136C3" w:rsidRPr="001812D6">
              <w:rPr>
                <w:sz w:val="24"/>
                <w:szCs w:val="24"/>
              </w:rPr>
              <w:t>指标编号，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j=1,2,3…</m:t>
              </m:r>
            </m:oMath>
          </w:p>
        </w:tc>
      </w:tr>
      <w:tr w:rsidR="00D136C3" w:rsidRPr="001812D6" w14:paraId="714185C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444CA43" w14:textId="72CC84AC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E10455B" w14:textId="6BA7BDB6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权重矩阵</w:t>
            </w:r>
          </w:p>
        </w:tc>
      </w:tr>
      <w:tr w:rsidR="00D136C3" w:rsidRPr="001812D6" w14:paraId="1BB69B03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79B71031" w14:textId="77777777" w:rsidR="00D136C3" w:rsidRPr="001812D6" w:rsidRDefault="00000000" w:rsidP="00DA0E5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7EF5186A" w14:textId="17E1B04D" w:rsidR="00D136C3" w:rsidRPr="001812D6" w:rsidRDefault="008A6EED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模糊综合评价</w:t>
            </w:r>
            <w:r w:rsidR="00725476" w:rsidRPr="001812D6">
              <w:rPr>
                <w:sz w:val="24"/>
                <w:szCs w:val="24"/>
              </w:rPr>
              <w:t>的</w:t>
            </w:r>
            <w:r w:rsidR="00D91527">
              <w:rPr>
                <w:rFonts w:hint="eastAsia"/>
                <w:sz w:val="24"/>
                <w:szCs w:val="24"/>
              </w:rPr>
              <w:t>综合</w:t>
            </w:r>
            <w:r w:rsidR="00725476" w:rsidRPr="001812D6">
              <w:rPr>
                <w:sz w:val="24"/>
                <w:szCs w:val="24"/>
              </w:rPr>
              <w:t>评判矩阵</w:t>
            </w:r>
          </w:p>
        </w:tc>
      </w:tr>
      <w:tr w:rsidR="00D91527" w:rsidRPr="001812D6" w14:paraId="7A2C3CBF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EB88074" w14:textId="0C98CB94" w:rsidR="00D91527" w:rsidRDefault="00D91527" w:rsidP="00DA0E5C">
            <w:pPr>
              <w:jc w:val="center"/>
              <w:rPr>
                <w:rFonts w:ascii="等线" w:eastAsia="等线" w:hAnsi="等线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724CF2A" w14:textId="4D963E52" w:rsidR="00D91527" w:rsidRPr="001812D6" w:rsidRDefault="00D91527" w:rsidP="00DA0E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单因素评判矩阵</w:t>
            </w:r>
          </w:p>
        </w:tc>
      </w:tr>
      <w:tr w:rsidR="00D136C3" w:rsidRPr="001812D6" w14:paraId="11161BDC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7658959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1D52EB35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判断矩阵的最大特征根</w:t>
            </w:r>
          </w:p>
        </w:tc>
      </w:tr>
      <w:tr w:rsidR="00D136C3" w:rsidRPr="001812D6" w14:paraId="5BA3478B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183784F7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CI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4F4BA7E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一致性检验指标</w:t>
            </w:r>
          </w:p>
        </w:tc>
      </w:tr>
      <w:tr w:rsidR="00D136C3" w:rsidRPr="001812D6" w14:paraId="7E42073D" w14:textId="77777777" w:rsidTr="00DA0E5C">
        <w:trPr>
          <w:trHeight w:val="877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21FC7C2F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CR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6E34E4FF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一致性比率</w:t>
            </w:r>
          </w:p>
        </w:tc>
      </w:tr>
      <w:tr w:rsidR="00D136C3" w:rsidRPr="001812D6" w14:paraId="391EA9D4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461CB20F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55E7CFE0" w14:textId="77777777" w:rsidR="00D136C3" w:rsidRPr="001812D6" w:rsidRDefault="00D136C3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准则层的第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proofErr w:type="gramStart"/>
            <w:r w:rsidRPr="001812D6">
              <w:rPr>
                <w:sz w:val="24"/>
                <w:szCs w:val="24"/>
              </w:rPr>
              <w:t>个</w:t>
            </w:r>
            <w:proofErr w:type="gramEnd"/>
            <w:r w:rsidRPr="001812D6">
              <w:rPr>
                <w:sz w:val="24"/>
                <w:szCs w:val="24"/>
              </w:rPr>
              <w:t>类别所占的权重</w:t>
            </w:r>
          </w:p>
        </w:tc>
      </w:tr>
      <w:tr w:rsidR="006F1AB4" w:rsidRPr="001812D6" w14:paraId="4D11687D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17FD9FA" w14:textId="5FFC0886" w:rsidR="006F1AB4" w:rsidRPr="001812D6" w:rsidRDefault="00000000" w:rsidP="00DA0E5C">
            <w:pPr>
              <w:jc w:val="center"/>
              <w:rPr>
                <w:rFonts w:eastAsia="等线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00DA2D88" w14:textId="59F55980" w:rsidR="006F1AB4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一级</w:t>
            </w:r>
            <w:proofErr w:type="gramStart"/>
            <w:r w:rsidRPr="001812D6">
              <w:rPr>
                <w:sz w:val="24"/>
                <w:szCs w:val="24"/>
              </w:rPr>
              <w:t>指标第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proofErr w:type="gramStart"/>
            <w:r w:rsidRPr="001812D6">
              <w:rPr>
                <w:sz w:val="24"/>
                <w:szCs w:val="24"/>
              </w:rPr>
              <w:t>个</w:t>
            </w:r>
            <w:proofErr w:type="gramEnd"/>
            <w:r w:rsidRPr="001812D6">
              <w:rPr>
                <w:sz w:val="24"/>
                <w:szCs w:val="24"/>
              </w:rPr>
              <w:t>评价指标的数值</w:t>
            </w:r>
          </w:p>
        </w:tc>
      </w:tr>
      <w:tr w:rsidR="00D136C3" w:rsidRPr="001812D6" w14:paraId="59EADA1A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14:paraId="6866019B" w14:textId="77777777" w:rsidR="00D136C3" w:rsidRPr="001812D6" w:rsidRDefault="00000000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nil"/>
            </w:tcBorders>
            <w:vAlign w:val="center"/>
          </w:tcPr>
          <w:p w14:paraId="2C587E1D" w14:textId="5EF0E105" w:rsidR="00D136C3" w:rsidRPr="001812D6" w:rsidRDefault="006F1AB4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二级</w:t>
            </w:r>
            <w:proofErr w:type="gramStart"/>
            <w:r w:rsidRPr="001812D6">
              <w:rPr>
                <w:sz w:val="24"/>
                <w:szCs w:val="24"/>
              </w:rPr>
              <w:t>指标</w:t>
            </w:r>
            <w:r w:rsidR="00D136C3" w:rsidRPr="001812D6">
              <w:rPr>
                <w:sz w:val="24"/>
                <w:szCs w:val="24"/>
              </w:rPr>
              <w:t>第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proofErr w:type="gramStart"/>
            <w:r w:rsidR="00D136C3" w:rsidRPr="001812D6">
              <w:rPr>
                <w:sz w:val="24"/>
                <w:szCs w:val="24"/>
              </w:rPr>
              <w:t>个</w:t>
            </w:r>
            <w:proofErr w:type="gramEnd"/>
            <w:r w:rsidR="00D136C3" w:rsidRPr="001812D6">
              <w:rPr>
                <w:sz w:val="24"/>
                <w:szCs w:val="24"/>
              </w:rPr>
              <w:t>评价指标的数值</w:t>
            </w:r>
          </w:p>
        </w:tc>
      </w:tr>
      <w:tr w:rsidR="00D136C3" w:rsidRPr="001812D6" w14:paraId="2C80838F" w14:textId="77777777" w:rsidTr="00DA0E5C">
        <w:trPr>
          <w:trHeight w:val="918"/>
          <w:jc w:val="center"/>
        </w:trPr>
        <w:tc>
          <w:tcPr>
            <w:tcW w:w="2366" w:type="dxa"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BE00CC" w14:textId="77777777" w:rsidR="00D136C3" w:rsidRPr="001812D6" w:rsidRDefault="00D136C3" w:rsidP="00DA0E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ψ</m:t>
                </m:r>
              </m:oMath>
            </m:oMathPara>
          </w:p>
        </w:tc>
        <w:tc>
          <w:tcPr>
            <w:tcW w:w="7166" w:type="dxa"/>
            <w:tcBorders>
              <w:top w:val="nil"/>
              <w:left w:val="single" w:sz="18" w:space="0" w:color="auto"/>
              <w:bottom w:val="single" w:sz="18" w:space="0" w:color="auto"/>
            </w:tcBorders>
            <w:vAlign w:val="center"/>
          </w:tcPr>
          <w:p w14:paraId="1131546D" w14:textId="10BAFAEC" w:rsidR="00D136C3" w:rsidRPr="001812D6" w:rsidRDefault="00E82341" w:rsidP="00DA0E5C">
            <w:pPr>
              <w:rPr>
                <w:sz w:val="24"/>
                <w:szCs w:val="24"/>
              </w:rPr>
            </w:pPr>
            <w:r w:rsidRPr="001812D6">
              <w:rPr>
                <w:sz w:val="24"/>
                <w:szCs w:val="24"/>
              </w:rPr>
              <w:t>建筑物保护价值评估指数</w:t>
            </w:r>
          </w:p>
        </w:tc>
      </w:tr>
    </w:tbl>
    <w:p w14:paraId="4560CCDE" w14:textId="6B02A58E" w:rsidR="005F7BA0" w:rsidRPr="001812D6" w:rsidRDefault="005F7BA0" w:rsidP="005F7BA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用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~x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  <w:r w:rsidRPr="001812D6">
        <w:rPr>
          <w:rFonts w:ascii="Times New Roman" w:hAnsi="Times New Roman" w:cs="Times New Roman"/>
          <w:sz w:val="24"/>
          <w:szCs w:val="24"/>
        </w:rPr>
        <w:t>表示归一化后的各指标评分，评分由德尔菲法得出，建立相应评价指标对应表。所使用的归一化方法为线性归一化方法：</w:t>
      </w:r>
    </w:p>
    <w:p w14:paraId="2DA03877" w14:textId="77777777" w:rsidR="005F7BA0" w:rsidRPr="001812D6" w:rsidRDefault="00000000" w:rsidP="005F7BA0">
      <w:pPr>
        <w:widowControl/>
        <w:spacing w:beforeLines="100" w:before="312" w:afterLines="100" w:after="312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913B080" w14:textId="77777777" w:rsidR="001812D6" w:rsidRDefault="001812D6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193EB" w14:textId="03E1D0CB" w:rsidR="0048577A" w:rsidRPr="001812D6" w:rsidRDefault="0048577A" w:rsidP="0048577A">
      <w:pPr>
        <w:widowControl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12D6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1812D6"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Description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</m:oMath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772"/>
        <w:gridCol w:w="1837"/>
        <w:gridCol w:w="4687"/>
      </w:tblGrid>
      <w:tr w:rsidR="001812D6" w:rsidRPr="001812D6" w14:paraId="1FFA92B8" w14:textId="77777777" w:rsidTr="00D91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80B1B" w14:textId="746F08DC" w:rsidR="00E82341" w:rsidRPr="001812D6" w:rsidRDefault="00E82341" w:rsidP="00DA0E5C">
            <w:pPr>
              <w:rPr>
                <w:rFonts w:ascii="Times New Roman" w:eastAsia="等线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30292" w14:textId="3373065E" w:rsidR="00E82341" w:rsidRPr="001812D6" w:rsidRDefault="00000000" w:rsidP="00DA0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A696F8" w14:textId="77777777" w:rsidR="00E82341" w:rsidRPr="001812D6" w:rsidRDefault="00E82341" w:rsidP="00DA0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1812D6" w:rsidRPr="001812D6" w14:paraId="5A57AAC3" w14:textId="77777777" w:rsidTr="00D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428AA512" w14:textId="218CB809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人文价值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839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6ADB6286" w14:textId="3B5EE52C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7D5FAC08" w14:textId="67E83E04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艺术风格</w:t>
            </w:r>
          </w:p>
        </w:tc>
      </w:tr>
      <w:tr w:rsidR="001812D6" w:rsidRPr="001812D6" w14:paraId="6DC1C546" w14:textId="77777777" w:rsidTr="00D9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5919442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</w:tcPr>
          <w:p w14:paraId="703EDE6B" w14:textId="5BEB8671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9812" w14:textId="3873A3D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宗教意义</w:t>
            </w:r>
          </w:p>
        </w:tc>
      </w:tr>
      <w:tr w:rsidR="001812D6" w:rsidRPr="001812D6" w14:paraId="6BEE5BAB" w14:textId="77777777" w:rsidTr="00D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DBF5F2F" w14:textId="0CA773CA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历史价值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839" w:type="dxa"/>
            <w:tcBorders>
              <w:top w:val="single" w:sz="4" w:space="0" w:color="auto"/>
              <w:right w:val="single" w:sz="4" w:space="0" w:color="auto"/>
            </w:tcBorders>
          </w:tcPr>
          <w:p w14:paraId="3DBA0D5C" w14:textId="6CF1A7CD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F50E0" w14:textId="291FD398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建筑物年代</w:t>
            </w:r>
          </w:p>
        </w:tc>
      </w:tr>
      <w:tr w:rsidR="001812D6" w:rsidRPr="001812D6" w14:paraId="77F0962D" w14:textId="77777777" w:rsidTr="00D9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4459723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等线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</w:tcPr>
          <w:p w14:paraId="323F951A" w14:textId="01B33D5C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C22A" w14:textId="727F2050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历史事件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与</w:t>
            </w: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人物</w:t>
            </w:r>
          </w:p>
        </w:tc>
      </w:tr>
      <w:tr w:rsidR="001812D6" w:rsidRPr="001812D6" w14:paraId="6F5076D4" w14:textId="77777777" w:rsidTr="00D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4693700" w14:textId="38CFC600" w:rsidR="00E82341" w:rsidRPr="001812D6" w:rsidRDefault="00E82341" w:rsidP="001812D6">
            <w:pPr>
              <w:spacing w:before="240" w:line="720" w:lineRule="auto"/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经济价值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</w:tc>
        <w:tc>
          <w:tcPr>
            <w:tcW w:w="1839" w:type="dxa"/>
            <w:tcBorders>
              <w:top w:val="single" w:sz="4" w:space="0" w:color="auto"/>
              <w:right w:val="single" w:sz="4" w:space="0" w:color="auto"/>
            </w:tcBorders>
          </w:tcPr>
          <w:p w14:paraId="63BE4324" w14:textId="0CC3F3B6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22B397" w14:textId="2E2A1B3F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旅游</w:t>
            </w: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业</w:t>
            </w:r>
          </w:p>
        </w:tc>
      </w:tr>
      <w:tr w:rsidR="001812D6" w:rsidRPr="001812D6" w14:paraId="4792469F" w14:textId="77777777" w:rsidTr="00D9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left w:val="single" w:sz="4" w:space="0" w:color="auto"/>
            </w:tcBorders>
          </w:tcPr>
          <w:p w14:paraId="575B8A36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right w:val="single" w:sz="4" w:space="0" w:color="auto"/>
            </w:tcBorders>
          </w:tcPr>
          <w:p w14:paraId="7CEB8E16" w14:textId="636FE971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  <w:right w:val="single" w:sz="4" w:space="0" w:color="auto"/>
            </w:tcBorders>
          </w:tcPr>
          <w:p w14:paraId="73B6D18F" w14:textId="552F5649" w:rsidR="00E82341" w:rsidRPr="001812D6" w:rsidRDefault="00E82341" w:rsidP="00DA0E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就业机会</w:t>
            </w:r>
          </w:p>
        </w:tc>
      </w:tr>
      <w:tr w:rsidR="001812D6" w:rsidRPr="001812D6" w14:paraId="6EFD0DB1" w14:textId="77777777" w:rsidTr="00D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D38390" w14:textId="77777777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</w:tcPr>
          <w:p w14:paraId="51AC1C59" w14:textId="6DD2249D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7353" w14:textId="29100DA5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7BA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商业活动</w:t>
            </w:r>
          </w:p>
        </w:tc>
      </w:tr>
      <w:tr w:rsidR="001812D6" w:rsidRPr="001812D6" w14:paraId="0EA6F775" w14:textId="77777777" w:rsidTr="00D9152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330A331" w14:textId="68FD89BE" w:rsidR="00E82341" w:rsidRPr="001812D6" w:rsidRDefault="00E82341" w:rsidP="00596E62">
            <w:pPr>
              <w:spacing w:line="72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社区价值</w:t>
            </w:r>
            <m:oMath>
              <m:sSub>
                <m:sSubPr>
                  <m:ctrl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 xml:space="preserve"> 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</w:p>
        </w:tc>
        <w:tc>
          <w:tcPr>
            <w:tcW w:w="1839" w:type="dxa"/>
            <w:tcBorders>
              <w:top w:val="single" w:sz="4" w:space="0" w:color="auto"/>
              <w:right w:val="single" w:sz="4" w:space="0" w:color="auto"/>
            </w:tcBorders>
          </w:tcPr>
          <w:p w14:paraId="7D0337A2" w14:textId="1A6AEDC7" w:rsidR="00E82341" w:rsidRPr="001812D6" w:rsidRDefault="00000000" w:rsidP="00DA0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7A3743" w14:textId="0F19BA4A" w:rsidR="00E82341" w:rsidRPr="001812D6" w:rsidRDefault="00E82341" w:rsidP="00DA0E5C">
            <w:pPr>
              <w:tabs>
                <w:tab w:val="left" w:pos="171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居民活动</w:t>
            </w:r>
          </w:p>
        </w:tc>
      </w:tr>
      <w:tr w:rsidR="001812D6" w:rsidRPr="001812D6" w14:paraId="33917316" w14:textId="77777777" w:rsidTr="00D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6E0E1A" w14:textId="77777777" w:rsidR="00E82341" w:rsidRPr="001812D6" w:rsidRDefault="00E82341" w:rsidP="00DA0E5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</w:tcPr>
          <w:p w14:paraId="36700F8F" w14:textId="4BF1559C" w:rsidR="00E82341" w:rsidRPr="001812D6" w:rsidRDefault="00000000" w:rsidP="00DA0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4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A271" w14:textId="40F10172" w:rsidR="00E82341" w:rsidRPr="001812D6" w:rsidRDefault="00E82341" w:rsidP="00DA0E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12D6">
              <w:rPr>
                <w:rFonts w:ascii="Times New Roman" w:hAnsi="Times New Roman" w:cs="Times New Roman"/>
                <w:sz w:val="24"/>
                <w:szCs w:val="24"/>
              </w:rPr>
              <w:t>集体记忆</w:t>
            </w:r>
          </w:p>
        </w:tc>
      </w:tr>
    </w:tbl>
    <w:p w14:paraId="1C4F972C" w14:textId="46EB37F0" w:rsidR="005F7BA0" w:rsidRPr="001812D6" w:rsidRDefault="005F7BA0" w:rsidP="005F7BA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</w:pPr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代入相应数据可得建筑物保护价值评估指数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ψ</m:t>
        </m:r>
      </m:oMath>
      <w:r w:rsidRPr="001812D6">
        <w:rPr>
          <w:rFonts w:ascii="Times New Roman" w:eastAsia="宋体" w:hAnsi="Times New Roman" w:cs="Times New Roman"/>
          <w:color w:val="000000"/>
          <w:kern w:val="0"/>
          <w:sz w:val="24"/>
          <w:szCs w:val="24"/>
          <w:lang w:bidi="ar"/>
        </w:rPr>
        <w:t>的最终计算公式：</w:t>
      </w:r>
    </w:p>
    <w:p w14:paraId="52AB9922" w14:textId="182BB958" w:rsidR="006F1AB4" w:rsidRPr="00954AD7" w:rsidRDefault="00000000" w:rsidP="006F1AB4">
      <w:pPr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rSpRule m:val="2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+0.80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=0.41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=0.67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8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+0.33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9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22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+0.2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</m:t>
                  </m:r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47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>+0.10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/>
                          <w:kern w:val="0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</m:oMath>
      </m:oMathPara>
    </w:p>
    <w:p w14:paraId="4CEDB9CB" w14:textId="01B81198" w:rsidR="00954AD7" w:rsidRPr="00954AD7" w:rsidRDefault="00954AD7" w:rsidP="00954AD7">
      <w:pPr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根据该公式可进行建筑物之间的价值评估横向对比，来确定彼此之间的保护优先级。</w:t>
      </w:r>
    </w:p>
    <w:p w14:paraId="274A9413" w14:textId="70EF2FC3" w:rsidR="00954AD7" w:rsidRPr="00954AD7" w:rsidRDefault="00954AD7" w:rsidP="00954AD7">
      <w:pPr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proofErr w:type="gramStart"/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当应用</w:t>
      </w:r>
      <w:proofErr w:type="gramEnd"/>
      <w:r w:rsidRPr="00954AD7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目的是为了判断一个建筑物是否应该进行保护，我们可以进一步采取模糊综合评价法进行评判。</w:t>
      </w:r>
    </w:p>
    <w:p w14:paraId="43C2804D" w14:textId="6CE0711C" w:rsidR="001812D6" w:rsidRPr="00954AD7" w:rsidRDefault="001F0FC5" w:rsidP="00954AD7">
      <w:pPr>
        <w:ind w:firstLineChars="20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按照AHP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方法</w:t>
      </w:r>
      <w:r w:rsidR="00954AD7" w:rsidRPr="00954AD7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，我们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得出</w:t>
      </w:r>
      <w:r w:rsidR="00954AD7" w:rsidRPr="00954AD7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了</w:t>
      </w:r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各评价指即标的权重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8A6EED" w:rsidRPr="00954AD7">
        <w:rPr>
          <w:rFonts w:ascii="宋体" w:eastAsia="宋体" w:hAnsi="宋体" w:cs="Times New Roman"/>
          <w:color w:val="000000" w:themeColor="text1"/>
          <w:sz w:val="24"/>
          <w:szCs w:val="24"/>
        </w:rPr>
        <w:t>，</w:t>
      </w:r>
      <w:r w:rsidR="00954AD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权重设为矩阵形式</w:t>
      </w:r>
      <w:r w:rsidR="001812D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</w:p>
    <w:p w14:paraId="65E4D436" w14:textId="77777777" w:rsidR="001812D6" w:rsidRPr="001812D6" w:rsidRDefault="00000000" w:rsidP="001812D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0.80</m:t>
                    </m:r>
                  </m:e>
                </m:mr>
              </m:m>
            </m:e>
          </m:d>
        </m:oMath>
      </m:oMathPara>
    </w:p>
    <w:p w14:paraId="16ADF6CF" w14:textId="77777777" w:rsidR="001812D6" w:rsidRPr="001812D6" w:rsidRDefault="00000000" w:rsidP="001812D6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2AE218D9" w14:textId="77777777" w:rsidR="001812D6" w:rsidRPr="001812D6" w:rsidRDefault="00000000" w:rsidP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0.26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60242679" w14:textId="3EE018C5" w:rsidR="001812D6" w:rsidRPr="001812D6" w:rsidRDefault="00000000" w:rsidP="001812D6">
      <w:pPr>
        <w:jc w:val="left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0.33</m:t>
                    </m:r>
                  </m:e>
                </m:mr>
              </m:m>
            </m:e>
          </m:d>
        </m:oMath>
      </m:oMathPara>
    </w:p>
    <w:p w14:paraId="592682F4" w14:textId="2CA82109" w:rsidR="001812D6" w:rsidRPr="00954AD7" w:rsidRDefault="001812D6" w:rsidP="00954AD7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0.21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Style w:val="a5"/>
                              <w:rFonts w:ascii="Cambria Math" w:eastAsia="宋体" w:hAnsi="Cambria Math" w:cs="Times New Roman"/>
                              <w:color w:val="000000" w:themeColor="text1"/>
                              <w:sz w:val="24"/>
                              <w:szCs w:val="24"/>
                            </w:rPr>
                            <m:t>0.10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19B8FDD" w14:textId="0D7FA883" w:rsidR="00137E3A" w:rsidRPr="001812D6" w:rsidRDefault="001812D6" w:rsidP="001812D6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接下来运用</w:t>
      </w:r>
      <w:r w:rsidRPr="001812D6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</w:rPr>
        <w:t>模糊综合评价法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将保护必要性评语</w:t>
      </w:r>
      <w:proofErr w:type="gramStart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集分为</w:t>
      </w:r>
      <w:proofErr w:type="gramEnd"/>
      <w:r w:rsidR="00381229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三类：十分有必要、可以考虑、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没必要，由相关专家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</w:t>
      </w:r>
      <w:r w:rsidR="00625EA1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对特定建筑的四项一级指标下属的九项指标进行保护必要性的评判，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在每个指标下进行三个评语的选择，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只能选择其中一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种，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根据三种不同的评语的选择人数在总人数的比值，</w:t>
      </w:r>
      <w:r w:rsidR="00137E3A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得到四个单因素评判矩阵，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设第</w:t>
      </w:r>
      <w:proofErr w:type="spell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种一级指标下有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种二级指标</w:t>
      </w:r>
    </w:p>
    <w:p w14:paraId="4F450E5E" w14:textId="3A4B1BD8" w:rsidR="00664E04" w:rsidRPr="001812D6" w:rsidRDefault="00000000" w:rsidP="00596E62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kj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=</m:t>
        </m:r>
      </m:oMath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对第</w:t>
      </w:r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</w:t>
      </w:r>
      <w:proofErr w:type="gramStart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proofErr w:type="gramEnd"/>
      <w:r w:rsidR="00E93B9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二级指标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选择第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j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种评语的人数）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proofErr w:type="gramStart"/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参评总</w:t>
      </w:r>
      <w:proofErr w:type="gramEnd"/>
      <w:r w:rsidR="00664E04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人数）</w:t>
      </w:r>
    </w:p>
    <w:p w14:paraId="5A99EF4F" w14:textId="5A45DCCA" w:rsidR="0024586D" w:rsidRPr="001812D6" w:rsidRDefault="00000000" w:rsidP="0024586D">
      <w:pPr>
        <w:rPr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k3</m:t>
                        </m:r>
                      </m:sub>
                    </m:sSub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</m:t>
          </m:r>
          <m:d>
            <m:dPr>
              <m:begChr m:val="（"/>
              <m:endChr m:val="）"/>
              <m:ctrlPr>
                <w:rPr>
                  <w:rFonts w:ascii="Cambria Math" w:eastAsia="宋体" w:hAnsi="Cambria Math" w:cs="Times New Roman"/>
                  <w:iCs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i=1,2,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3,4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k=1,2,…n</m:t>
              </m:r>
            </m:e>
          </m:d>
        </m:oMath>
      </m:oMathPara>
    </w:p>
    <w:p w14:paraId="779B4D3C" w14:textId="4C171B1A" w:rsidR="00137E3A" w:rsidRPr="001812D6" w:rsidRDefault="00137E3A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AE462CA" w14:textId="4699A52E" w:rsidR="00596E62" w:rsidRPr="001812D6" w:rsidRDefault="001812D6">
      <w:pPr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对各指标进行一级模糊综合评价得到</w:t>
      </w:r>
      <w:r w:rsidR="00596E62" w:rsidRPr="001812D6"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0AB4E1C2" w14:textId="58457D8E" w:rsidR="001812D6" w:rsidRPr="001812D6" w:rsidRDefault="00000000">
      <w:pPr>
        <w:rPr>
          <w:rFonts w:ascii="Times New Roman" w:eastAsia="宋体" w:hAnsi="Times New Roman" w:cs="Times New Roman"/>
          <w:i/>
          <w:iCs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°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，（</m:t>
          </m:r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i=1,2,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…k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）</m:t>
          </m:r>
        </m:oMath>
      </m:oMathPara>
    </w:p>
    <w:p w14:paraId="6A54BA52" w14:textId="2FAF6238" w:rsidR="001812D6" w:rsidRPr="001812D6" w:rsidRDefault="001812D6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可以得到：</w:t>
      </w:r>
    </w:p>
    <w:p w14:paraId="273020A0" w14:textId="1583807D" w:rsidR="001812D6" w:rsidRPr="001812D6" w:rsidRDefault="001812D6" w:rsidP="001812D6">
      <w:pPr>
        <w:jc w:val="center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572C479" w14:textId="329C427C" w:rsidR="00664E04" w:rsidRPr="001812D6" w:rsidRDefault="00137E3A" w:rsidP="0024586D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最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后进行二级模糊</w:t>
      </w: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综合评价</w:t>
      </w:r>
      <w:r w:rsidR="001812D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得到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43D5393F" w14:textId="33FAF216" w:rsidR="00664E04" w:rsidRPr="001812D6" w:rsidRDefault="0024586D" w:rsidP="00664E04">
      <w:pPr>
        <w:jc w:val="center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B=A°R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A·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5"/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5"/>
                            <w:rFonts w:ascii="Cambria Math" w:eastAsia="宋体" w:hAnsi="Cambria Math" w:cs="Times New Roman"/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Style w:val="a5"/>
              <w:rFonts w:ascii="Cambria Math" w:eastAsia="宋体" w:hAnsi="Cambria Math" w:cs="Times New Roman" w:hint="eastAsia"/>
              <w:color w:val="000000" w:themeColor="text1"/>
              <w:sz w:val="24"/>
              <w:szCs w:val="24"/>
            </w:rPr>
            <m:t>（此处采取乘法</m:t>
          </m:r>
          <m:r>
            <m:rPr>
              <m:sty m:val="p"/>
            </m:rPr>
            <w:rPr>
              <w:rStyle w:val="a5"/>
              <w:rFonts w:ascii="微软雅黑" w:eastAsia="微软雅黑" w:hAnsi="微软雅黑" w:cs="微软雅黑" w:hint="eastAsia"/>
              <w:color w:val="000000" w:themeColor="text1"/>
              <w:sz w:val="24"/>
              <w:szCs w:val="24"/>
            </w:rPr>
            <m:t>-</m:t>
          </m:r>
          <m:r>
            <m:rPr>
              <m:sty m:val="p"/>
            </m:rPr>
            <w:rPr>
              <w:rStyle w:val="a5"/>
              <w:rFonts w:ascii="宋体" w:eastAsia="宋体" w:hAnsi="宋体" w:cs="宋体" w:hint="eastAsia"/>
              <w:color w:val="000000" w:themeColor="text1"/>
              <w:sz w:val="24"/>
              <w:szCs w:val="24"/>
            </w:rPr>
            <m:t>有界算子）</m:t>
          </m:r>
        </m:oMath>
      </m:oMathPara>
    </w:p>
    <w:p w14:paraId="34D2C025" w14:textId="0703F6BF" w:rsidR="00596E62" w:rsidRDefault="00E93B94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根据最大隶属度原则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B</m:t>
        </m:r>
      </m:oMath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中最大元素对应的评价为最终该地点的保护评价结果</w:t>
      </w:r>
      <w:r w:rsidR="000F280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，此处乘法</w:t>
      </w:r>
      <w:r w:rsidR="000F280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="000F280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有界算子保证了结果的加权平均性，实际操作</w:t>
      </w:r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时若</w:t>
      </w:r>
      <w:proofErr w:type="gramStart"/>
      <w:r w:rsidR="000F280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主因素</w:t>
      </w:r>
      <w:proofErr w:type="gramEnd"/>
      <w:r w:rsidR="000F280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过于突出</w:t>
      </w:r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（比如经济意义较弱却极富历史意义的古建筑），可考虑使用取小</w:t>
      </w:r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取大算子来得到</w:t>
      </w:r>
      <w:proofErr w:type="gramStart"/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主因素</w:t>
      </w:r>
      <w:proofErr w:type="gramEnd"/>
      <w:r w:rsidR="0035596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决定型的结果（注意归一化处理）</w:t>
      </w:r>
      <w:r w:rsidR="00596E62" w:rsidRPr="001812D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7C0BF295" w14:textId="377F80D5" w:rsidR="00954AD7" w:rsidRDefault="00954AD7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在针对不同类型的建筑，我们应采取相应的保护措施</w:t>
      </w:r>
      <w:r w:rsid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3ECCE02D" w14:textId="4817A3DD" w:rsidR="005A5E27" w:rsidRPr="00180D4A" w:rsidRDefault="005A5E27" w:rsidP="00180D4A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定期维护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建议社区建筑物进行定期维护，确保基础设施和建筑结构处于良好状态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究竟应该如何掌握维修的度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呢？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笔者以为不可以损害附着其上的随时光流逝而获得的文化意义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</w:t>
      </w:r>
      <w:proofErr w:type="gramStart"/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真性是</w:t>
      </w:r>
      <w:proofErr w:type="gramEnd"/>
      <w:r w:rsidR="00180D4A"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历史建筑的核心，应最大限度保留历史建筑历经沧桑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遭受侵蚀状态的真实无误的程度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而根本否定了从传统建筑美学角度所推崇的形式完美统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—</w:t>
      </w:r>
      <w:r w:rsidR="00180D4A"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的原则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54C10154" w14:textId="3B81949A" w:rsidR="005A5E27" w:rsidRPr="005A5E27" w:rsidRDefault="00180D4A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合理使用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新型</w:t>
      </w:r>
      <w:r w:rsidR="005A5E27"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建材</w:t>
      </w:r>
      <w:r w:rsidR="005A5E27"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="005A5E27"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在建筑和修复过程中推荐使用抗灾建材，提高建筑物的抗灾性能。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原有的材料永远是首选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可以不动的尽量不动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有些新的方法和技术是可以用在传统建筑中的。欧洲和日本都有在原有结构上加支撑的加固方法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例如用纤细的钢结构技术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机械和现代材料不会损伤历史建筑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反而会增添它的艺术美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</w:p>
    <w:p w14:paraId="0B5CCB56" w14:textId="4810866B" w:rsidR="005A5E27" w:rsidRDefault="005A5E27" w:rsidP="001F4B6E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A5E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投保适当保险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</w:t>
      </w:r>
      <w:r w:rsidRPr="005A5E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社区建筑物应根据模型的评估结果购买适当的保险，覆盖可能的灾害损失</w:t>
      </w:r>
      <w:r w:rsidR="00222CB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，但是要注意核算是否存在保险保障缺口，</w:t>
      </w:r>
    </w:p>
    <w:p w14:paraId="042279FD" w14:textId="77777777" w:rsidR="00222CBD" w:rsidRDefault="005A5E27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必要时进行建筑搬迁：如果某建筑具有较大保护价值，且该地的灾害风险级别抵达阈值，可在核算成本后决定是否要进行建筑的搬迁，将建筑移至更安全的区域。</w:t>
      </w:r>
    </w:p>
    <w:p w14:paraId="66A8092B" w14:textId="77777777" w:rsidR="00222CBD" w:rsidRDefault="00222CBD" w:rsidP="00222C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1F008" wp14:editId="25C26DE6">
            <wp:extent cx="4494145" cy="5140936"/>
            <wp:effectExtent l="0" t="0" r="1905" b="3175"/>
            <wp:docPr id="58705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5506" name=""/>
                    <pic:cNvPicPr/>
                  </pic:nvPicPr>
                  <pic:blipFill rotWithShape="1">
                    <a:blip r:embed="rId12"/>
                    <a:srcRect l="1112" t="38446" r="2369" b="3549"/>
                    <a:stretch/>
                  </pic:blipFill>
                  <pic:spPr bwMode="auto">
                    <a:xfrm>
                      <a:off x="0" y="0"/>
                      <a:ext cx="4494359" cy="51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3E93D" w14:textId="4C1BAC89" w:rsidR="005A5E27" w:rsidRPr="003B4AFD" w:rsidRDefault="00222CBD" w:rsidP="003B4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C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1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4AFD" w:rsidRPr="001812D6">
        <w:rPr>
          <w:rFonts w:ascii="Times New Roman" w:hAnsi="Times New Roman" w:cs="Times New Roman"/>
          <w:b/>
          <w:bCs/>
          <w:sz w:val="24"/>
          <w:szCs w:val="24"/>
        </w:rPr>
        <w:t>Figure1 Framework diagram of two-level evaluation index architecture</w:t>
      </w:r>
    </w:p>
    <w:p w14:paraId="487E08F7" w14:textId="774A554B" w:rsidR="00180D4A" w:rsidRDefault="00180D4A" w:rsidP="00180D4A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80D4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从保护历史建筑的原真性．保存现状的原则考虑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异地嶶迁会使历史建筑脱离其特定的环境．使历史建筑的文化遗产价值大大降低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古迹不能与其所见证的历史和其产生的环境分离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除非出于保护古迹之需要</w:t>
      </w:r>
      <w:r w:rsidR="003B4AF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Pr="00180D4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或因国家或国际之极为重要利益而证明有其必要，否则不得全部或局部搬迁古迹</w:t>
      </w:r>
      <w:r w:rsidR="001F4B6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倘若评估对象社区价值与经济价值（特指只在该地区发挥经济价值）表现十分显著，则尽可能不选择搬迁措施，选择保险与特殊抗灾建材比较合适。</w:t>
      </w:r>
    </w:p>
    <w:p w14:paraId="248436E0" w14:textId="0A2D3616" w:rsidR="001F4B6E" w:rsidRDefault="00180D4A" w:rsidP="005A5E27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如果已可预测灾害对建筑损害巨大，为了保护目标建筑的人文价值与历史价值，应酌情考虑搬迁事宜。</w:t>
      </w:r>
    </w:p>
    <w:p w14:paraId="225AD478" w14:textId="77777777" w:rsidR="008D344E" w:rsidRDefault="008D344E">
      <w:pPr>
        <w:rPr>
          <w:noProof/>
        </w:rPr>
      </w:pPr>
    </w:p>
    <w:p w14:paraId="452AD014" w14:textId="77777777" w:rsidR="008D344E" w:rsidRDefault="008D344E">
      <w:pPr>
        <w:rPr>
          <w:noProof/>
        </w:rPr>
      </w:pPr>
    </w:p>
    <w:p w14:paraId="6BA0F307" w14:textId="148FBA5D" w:rsidR="005A5E27" w:rsidRDefault="005A5E27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BA54828" w14:textId="77777777" w:rsidR="00E21CA4" w:rsidRDefault="00E21CA4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1E537AE" w14:textId="77777777" w:rsidR="00E21CA4" w:rsidRDefault="00E21CA4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0A8F8BC" w14:textId="77777777" w:rsidR="00E21CA4" w:rsidRDefault="00E21CA4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F6B8AAD" w14:textId="77777777" w:rsidR="00E21CA4" w:rsidRDefault="00E21CA4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E1B0ED1" w14:textId="77777777" w:rsidR="00E21CA4" w:rsidRDefault="00E21CA4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3A51D91" w14:textId="77777777" w:rsidR="002B7F9A" w:rsidRDefault="002B7F9A" w:rsidP="00E21CA4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8F98CC" w14:textId="09D37DBB" w:rsidR="002B7F9A" w:rsidRDefault="002B7F9A" w:rsidP="00E21CA4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运用保护价值分析模型</w:t>
      </w:r>
      <w:r w:rsidR="009D0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，我们应首先收集一定数量的</w:t>
      </w:r>
      <w:r w:rsidR="009D0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针对东京塔</w:t>
      </w:r>
      <w:r w:rsidR="009D066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的专家意见，</w:t>
      </w:r>
      <w:r w:rsidR="00D915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此处已提前收集</w:t>
      </w:r>
      <w:r w:rsidR="00D915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D915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00</w:t>
      </w:r>
      <w:r w:rsidR="00D9152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份针对九项指标的意见表，统计数据后得到以下评判矩阵：</w:t>
      </w:r>
    </w:p>
    <w:p w14:paraId="7597DB4A" w14:textId="006C2337" w:rsidR="00E21CA4" w:rsidRPr="00E21CA4" w:rsidRDefault="00E21CA4" w:rsidP="00E21CA4">
      <w:pPr>
        <w:ind w:firstLineChars="200" w:firstLine="480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0.22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0.23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0.55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0.01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0.01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0.98</m:t>
                    </m:r>
                  </m:e>
                </m:mr>
              </m:m>
            </m:e>
          </m:d>
        </m:oMath>
      </m:oMathPara>
    </w:p>
    <w:p w14:paraId="5DC49680" w14:textId="77777777" w:rsidR="00E21CA4" w:rsidRPr="00E21CA4" w:rsidRDefault="00E21CA4" w:rsidP="00E21CA4">
      <w:pPr>
        <w:ind w:firstLineChars="200" w:firstLine="480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0.45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0.35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0.01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0.94</m:t>
                    </m:r>
                  </m:e>
                </m:mr>
              </m:m>
            </m:e>
          </m:d>
        </m:oMath>
      </m:oMathPara>
    </w:p>
    <w:p w14:paraId="27EA6665" w14:textId="77777777" w:rsidR="00E21CA4" w:rsidRPr="00E21CA4" w:rsidRDefault="00E21CA4" w:rsidP="00E21CA4">
      <w:pPr>
        <w:ind w:firstLineChars="200" w:firstLine="480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0.85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0.05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0.45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0.35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0.75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0.20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0.05</m:t>
                    </m:r>
                  </m:e>
                </m:mr>
              </m:m>
            </m:e>
          </m:d>
        </m:oMath>
      </m:oMathPara>
    </w:p>
    <w:p w14:paraId="0027CA8A" w14:textId="618FB1FB" w:rsidR="00E21CA4" w:rsidRPr="00D91527" w:rsidRDefault="00E21CA4" w:rsidP="00E21CA4">
      <w:pPr>
        <w:ind w:firstLineChars="200" w:firstLine="480"/>
        <w:rPr>
          <w:rStyle w:val="a5"/>
          <w:rFonts w:ascii="Times New Roman" w:eastAsia="宋体" w:hAnsi="Times New Roman" w:cs="Times New Roman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0.2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0.5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0.0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45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</m:t>
                    </m:r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46</m:t>
                    </m:r>
                  </m:e>
                </m:mr>
              </m:m>
            </m:e>
          </m:d>
        </m:oMath>
      </m:oMathPara>
    </w:p>
    <w:p w14:paraId="24BEE4C5" w14:textId="240CB665" w:rsidR="00D91527" w:rsidRPr="00E21CA4" w:rsidRDefault="00D91527" w:rsidP="00E21CA4">
      <w:pPr>
        <w:ind w:firstLineChars="200" w:firstLine="480"/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Style w:val="a5"/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计算得出：</w:t>
      </w:r>
    </w:p>
    <w:p w14:paraId="52C4FEEE" w14:textId="4BA7A26B" w:rsidR="000F2802" w:rsidRDefault="00E21CA4" w:rsidP="00D91527">
      <w:pPr>
        <w:jc w:val="center"/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Style w:val="a5"/>
                <w:rFonts w:ascii="Cambria Math" w:eastAsia="宋体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5"/>
                    <w:rFonts w:ascii="Cambria Math" w:eastAsia="宋体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5"/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Style w:val="a5"/>
          <w:rFonts w:ascii="Times New Roman" w:eastAsia="宋体" w:hAnsi="Times New Roman" w:cs="Times New Roman"/>
          <w:iCs/>
          <w:color w:val="000000" w:themeColor="text1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Style w:val="a5"/>
                <w:rFonts w:ascii="Cambria Math" w:eastAsia="宋体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5"/>
                    <w:rFonts w:ascii="Cambria Math" w:eastAsia="宋体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°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°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5"/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°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Style w:val="a5"/>
            <w:rFonts w:ascii="Cambria Math" w:eastAsia="宋体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Style w:val="a5"/>
                <w:rFonts w:ascii="Cambria Math" w:eastAsia="宋体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a5"/>
                    <w:rFonts w:ascii="Cambria Math" w:eastAsia="宋体" w:hAnsi="Cambria Math" w:cs="Times New Roman"/>
                    <w:i/>
                    <w:iCs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0.0520</m:t>
                  </m:r>
                </m:e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0.0540</m:t>
                  </m:r>
                </m:e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0.8940</m:t>
                  </m:r>
                </m:e>
              </m:mr>
              <m:mr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0.1373</m:t>
                  </m:r>
                </m:e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0.3180</m:t>
                  </m:r>
                </m:e>
                <m:e>
                  <m:r>
                    <w:rPr>
                      <w:rStyle w:val="a5"/>
                      <w:rFonts w:ascii="Cambria Math" w:eastAsia="宋体" w:hAnsi="Cambria Math" w:cs="Times New Roman"/>
                      <w:color w:val="000000" w:themeColor="text1"/>
                      <w:sz w:val="24"/>
                      <w:szCs w:val="24"/>
                    </w:rPr>
                    <m:t>0.5447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5"/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0.7130</m:t>
                        </m:r>
                      </m:e>
                    </m:m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0.1905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5"/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0.1590</m:t>
                        </m:r>
                      </m:e>
                    </m:m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0.3160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a5"/>
                          <w:rFonts w:ascii="Cambria Math" w:eastAsia="宋体" w:hAnsi="Cambria Math"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0.1280</m:t>
                        </m:r>
                      </m:e>
                    </m:mr>
                    <m:mr>
                      <m:e>
                        <m:r>
                          <w:rPr>
                            <w:rStyle w:val="a5"/>
                            <w:rFonts w:ascii="Cambria Math" w:eastAsia="宋体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0.4935</m:t>
                        </m:r>
                      </m:e>
                    </m:mr>
                  </m:m>
                </m:e>
              </m:mr>
            </m:m>
          </m:e>
        </m:d>
      </m:oMath>
      <w:r w:rsidR="000F280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（此处采取乘法—有界算子）</w:t>
      </w:r>
    </w:p>
    <w:p w14:paraId="20D0606D" w14:textId="118B1100" w:rsidR="00E21CA4" w:rsidRPr="00355962" w:rsidRDefault="000F2802" w:rsidP="000F2802">
      <w:pPr>
        <w:jc w:val="center"/>
        <w:rPr>
          <w:rStyle w:val="a5"/>
          <w:rFonts w:ascii="Times New Roman" w:eastAsia="宋体" w:hAnsi="Times New Roman" w:cs="Times New Roman"/>
          <w:iCs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Style w:val="a5"/>
                  <w:rFonts w:ascii="Cambria Math" w:eastAsia="宋体" w:hAnsi="Cambria Math" w:cs="Times New Roman"/>
                  <w:i/>
                  <w:iCs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eastAsia="宋体" w:hAnsi="Cambria Math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0.3944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0.1850</m:t>
                    </m:r>
                  </m:e>
                  <m:e>
                    <m:r>
                      <w:rPr>
                        <w:rStyle w:val="a5"/>
                        <w:rFonts w:ascii="Cambria Math" w:eastAsia="宋体" w:hAnsi="Cambria Math" w:cs="Times New Roman"/>
                        <w:color w:val="000000" w:themeColor="text1"/>
                        <w:sz w:val="24"/>
                        <w:szCs w:val="24"/>
                      </w:rPr>
                      <m:t>0.4206</m:t>
                    </m:r>
                  </m:e>
                </m:mr>
              </m:m>
            </m:e>
          </m:d>
        </m:oMath>
      </m:oMathPara>
    </w:p>
    <w:p w14:paraId="59CE86A3" w14:textId="16BE1583" w:rsidR="00E21CA4" w:rsidRPr="00E21CA4" w:rsidRDefault="00D91527" w:rsidP="00E21CA4">
      <w:pPr>
        <w:ind w:firstLineChars="200" w:firstLine="48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此处</w:t>
      </w:r>
      <w:r w:rsidR="0035596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无需归一化处理，若按照最大隶属</w:t>
      </w:r>
      <w:proofErr w:type="gramStart"/>
      <w:r w:rsidR="0035596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度原则</w:t>
      </w:r>
      <w:proofErr w:type="gramEnd"/>
      <w:r w:rsidR="0035596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考虑，则东京塔目前阶段整体保护意义不大，其主要价值为经济价值，且由于名字高度绑定东京这座城市，故不宜搬迁处理，</w:t>
      </w:r>
      <w:r w:rsidR="002B7F9A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在开发其商业用途时也应注意定期暂停营业进行维修，</w:t>
      </w:r>
      <w:r w:rsidR="0035596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考虑其本身不需要过多保留原有风骨，可以在修缮时进行一定程度的材料更替，</w:t>
      </w:r>
      <w:r w:rsidR="002B7F9A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使用抗灾建材，</w:t>
      </w:r>
      <w:r w:rsidR="00355962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使其能更好应对极端天气与地质条件</w:t>
      </w:r>
      <w:r w:rsidR="002B7F9A">
        <w:rPr>
          <w:rStyle w:val="a5"/>
          <w:rFonts w:ascii="Times New Roman" w:eastAsia="宋体" w:hAnsi="Times New Roman" w:cs="Times New Roman" w:hint="eastAsia"/>
          <w:iCs/>
          <w:color w:val="000000" w:themeColor="text1"/>
          <w:sz w:val="24"/>
          <w:szCs w:val="24"/>
        </w:rPr>
        <w:t>。</w:t>
      </w:r>
    </w:p>
    <w:p w14:paraId="467E89BA" w14:textId="77777777" w:rsidR="00180D4A" w:rsidRPr="005A5E27" w:rsidRDefault="00180D4A" w:rsidP="00180D4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sectPr w:rsidR="00180D4A" w:rsidRPr="005A5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8DD2" w14:textId="77777777" w:rsidR="00371AC2" w:rsidRDefault="00371AC2" w:rsidP="00954AD7">
      <w:r>
        <w:separator/>
      </w:r>
    </w:p>
  </w:endnote>
  <w:endnote w:type="continuationSeparator" w:id="0">
    <w:p w14:paraId="54304B20" w14:textId="77777777" w:rsidR="00371AC2" w:rsidRDefault="00371AC2" w:rsidP="0095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5FF5" w14:textId="77777777" w:rsidR="00371AC2" w:rsidRDefault="00371AC2" w:rsidP="00954AD7">
      <w:r>
        <w:separator/>
      </w:r>
    </w:p>
  </w:footnote>
  <w:footnote w:type="continuationSeparator" w:id="0">
    <w:p w14:paraId="2BAACD92" w14:textId="77777777" w:rsidR="00371AC2" w:rsidRDefault="00371AC2" w:rsidP="00954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1"/>
    <w:rsid w:val="000718A4"/>
    <w:rsid w:val="00082A81"/>
    <w:rsid w:val="000F2802"/>
    <w:rsid w:val="00117290"/>
    <w:rsid w:val="00137E3A"/>
    <w:rsid w:val="00180D4A"/>
    <w:rsid w:val="001812D6"/>
    <w:rsid w:val="001F0FC5"/>
    <w:rsid w:val="001F4B6E"/>
    <w:rsid w:val="00222CBD"/>
    <w:rsid w:val="0024586D"/>
    <w:rsid w:val="002B7F9A"/>
    <w:rsid w:val="00355962"/>
    <w:rsid w:val="0036533F"/>
    <w:rsid w:val="00371AC2"/>
    <w:rsid w:val="00381229"/>
    <w:rsid w:val="0038139A"/>
    <w:rsid w:val="003B4AFD"/>
    <w:rsid w:val="0048577A"/>
    <w:rsid w:val="00596E62"/>
    <w:rsid w:val="005A5E27"/>
    <w:rsid w:val="005D23F2"/>
    <w:rsid w:val="005F7BA0"/>
    <w:rsid w:val="00625EA1"/>
    <w:rsid w:val="00664E04"/>
    <w:rsid w:val="006F1AB4"/>
    <w:rsid w:val="00725476"/>
    <w:rsid w:val="007268D1"/>
    <w:rsid w:val="008975BA"/>
    <w:rsid w:val="008A6EED"/>
    <w:rsid w:val="008D344E"/>
    <w:rsid w:val="00954AD7"/>
    <w:rsid w:val="009D066A"/>
    <w:rsid w:val="00A33C3E"/>
    <w:rsid w:val="00D136C3"/>
    <w:rsid w:val="00D91527"/>
    <w:rsid w:val="00D9351A"/>
    <w:rsid w:val="00DC6FE7"/>
    <w:rsid w:val="00E21CA4"/>
    <w:rsid w:val="00E82341"/>
    <w:rsid w:val="00E93B94"/>
    <w:rsid w:val="00EE4D39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A6973"/>
  <w15:chartTrackingRefBased/>
  <w15:docId w15:val="{624386C9-90DD-47E9-AD61-AD67C902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33C3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E8234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E823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E823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8A6EED"/>
    <w:rPr>
      <w:color w:val="666666"/>
    </w:rPr>
  </w:style>
  <w:style w:type="paragraph" w:styleId="a6">
    <w:name w:val="List Paragraph"/>
    <w:basedOn w:val="a"/>
    <w:uiPriority w:val="99"/>
    <w:qFormat/>
    <w:rsid w:val="0048577A"/>
    <w:pPr>
      <w:spacing w:before="240" w:after="240"/>
      <w:ind w:firstLineChars="200" w:firstLine="420"/>
    </w:pPr>
    <w:rPr>
      <w:rFonts w:ascii="Times New Roman" w:eastAsia="Times New Roman" w:hAnsi="Times New Roman" w:cs="Times New Roman"/>
      <w:sz w:val="24"/>
      <w:szCs w:val="24"/>
    </w:rPr>
  </w:style>
  <w:style w:type="table" w:styleId="2-3">
    <w:name w:val="Grid Table 2 Accent 3"/>
    <w:basedOn w:val="a1"/>
    <w:uiPriority w:val="47"/>
    <w:rsid w:val="001812D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1812D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6">
    <w:name w:val="List Table 6 Colorful Accent 6"/>
    <w:basedOn w:val="a1"/>
    <w:uiPriority w:val="51"/>
    <w:rsid w:val="001812D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5">
    <w:name w:val="List Table 5 Dark Accent 5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List Table 5 Dark"/>
    <w:basedOn w:val="a1"/>
    <w:uiPriority w:val="50"/>
    <w:rsid w:val="001812D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">
    <w:name w:val="List Table 4"/>
    <w:basedOn w:val="a1"/>
    <w:uiPriority w:val="49"/>
    <w:rsid w:val="001812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1812D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54A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54A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54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54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8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城源 蔡</dc:creator>
  <cp:keywords/>
  <dc:description/>
  <cp:lastModifiedBy>城源 蔡</cp:lastModifiedBy>
  <cp:revision>7</cp:revision>
  <dcterms:created xsi:type="dcterms:W3CDTF">2024-02-02T04:48:00Z</dcterms:created>
  <dcterms:modified xsi:type="dcterms:W3CDTF">2024-02-04T13:55:00Z</dcterms:modified>
</cp:coreProperties>
</file>