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河南省城乡学校共同体AI智能助手建设方案</w:t>
      </w:r>
    </w:p>
    <w:p>
      <w:pPr>
        <w:pStyle w:val="Heading2"/>
      </w:pPr>
      <w:r>
        <w:t>一、项目概述</w:t>
      </w:r>
    </w:p>
    <w:p>
      <w:pPr>
        <w:pStyle w:val="Heading3"/>
      </w:pPr>
      <w:r>
        <w:t>1.1 项目名称</w:t>
      </w:r>
    </w:p>
    <w:p>
      <w:r>
        <w:rPr>
          <w:rFonts w:ascii="微软雅黑" w:hAnsi="微软雅黑" w:eastAsia="微软雅黑"/>
          <w:sz w:val="22"/>
        </w:rPr>
        <w:t>河南省城乡学校共同体智能问答助手（以下简称"校共体AI助手"）</w:t>
      </w:r>
    </w:p>
    <w:p>
      <w:pPr>
        <w:pStyle w:val="Heading3"/>
      </w:pPr>
      <w:r>
        <w:t>1.2 项目背景</w:t>
      </w:r>
    </w:p>
    <w:p>
      <w:r>
        <w:rPr>
          <w:rFonts w:ascii="微软雅黑" w:hAnsi="微软雅黑" w:eastAsia="微软雅黑"/>
          <w:sz w:val="22"/>
        </w:rPr>
        <w:t>根据《河南省教育厅 河南省财政厅 河南省人力资源和社会保障厅关于深入推进城乡学校共同体建设工作的通知》及《河南省县域结对型城乡学校共同体建设指南》，河南省正在深入推进县域城乡义务教育学校共同体建设。</w:t>
      </w:r>
    </w:p>
    <w:p>
      <w:r>
        <w:rPr>
          <w:rFonts w:ascii="微软雅黑" w:hAnsi="微软雅黑" w:eastAsia="微软雅黑"/>
          <w:sz w:val="22"/>
        </w:rPr>
        <w:t>当前校共体建设面临以下痛点：</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D6E4F0"/>
          </w:tcPr>
          <w:p>
            <w:pPr>
              <w:jc w:val="center"/>
            </w:pPr>
            <w:r/>
            <w:r>
              <w:rPr>
                <w:rFonts w:ascii="微软雅黑" w:hAnsi="微软雅黑" w:eastAsia="微软雅黑"/>
                <w:b/>
                <w:sz w:val="20"/>
              </w:rPr>
              <w:t>序号</w:t>
            </w:r>
          </w:p>
        </w:tc>
        <w:tc>
          <w:tcPr>
            <w:tcW w:type="dxa" w:w="3022"/>
            <w:shd w:val="clear" w:color="auto" w:fill="D6E4F0"/>
          </w:tcPr>
          <w:p>
            <w:pPr>
              <w:jc w:val="center"/>
            </w:pPr>
            <w:r/>
            <w:r>
              <w:rPr>
                <w:rFonts w:ascii="微软雅黑" w:hAnsi="微软雅黑" w:eastAsia="微软雅黑"/>
                <w:b/>
                <w:sz w:val="20"/>
              </w:rPr>
              <w:t>痛点</w:t>
            </w:r>
          </w:p>
        </w:tc>
        <w:tc>
          <w:tcPr>
            <w:tcW w:type="dxa" w:w="3022"/>
            <w:shd w:val="clear" w:color="auto" w:fill="D6E4F0"/>
          </w:tcPr>
          <w:p>
            <w:pPr>
              <w:jc w:val="center"/>
            </w:pPr>
            <w:r/>
            <w:r>
              <w:rPr>
                <w:rFonts w:ascii="微软雅黑" w:hAnsi="微软雅黑" w:eastAsia="微软雅黑"/>
                <w:b/>
                <w:sz w:val="20"/>
              </w:rPr>
              <w:t>现状表现</w:t>
            </w:r>
          </w:p>
        </w:tc>
      </w:tr>
      <w:tr>
        <w:tc>
          <w:tcPr>
            <w:tcW w:type="dxa" w:w="3022"/>
          </w:tcPr>
          <w:p>
            <w:r/>
            <w:r>
              <w:rPr>
                <w:rFonts w:ascii="微软雅黑" w:hAnsi="微软雅黑" w:eastAsia="微软雅黑"/>
                <w:sz w:val="20"/>
              </w:rPr>
              <w:t>1</w:t>
            </w:r>
          </w:p>
        </w:tc>
        <w:tc>
          <w:tcPr>
            <w:tcW w:type="dxa" w:w="3022"/>
          </w:tcPr>
          <w:p>
            <w:r/>
            <w:r>
              <w:rPr>
                <w:rFonts w:ascii="微软雅黑" w:hAnsi="微软雅黑" w:eastAsia="微软雅黑"/>
                <w:sz w:val="20"/>
              </w:rPr>
              <w:t>政策文件分散</w:t>
            </w:r>
          </w:p>
        </w:tc>
        <w:tc>
          <w:tcPr>
            <w:tcW w:type="dxa" w:w="3022"/>
          </w:tcPr>
          <w:p>
            <w:r/>
            <w:r>
              <w:rPr>
                <w:rFonts w:ascii="微软雅黑" w:hAnsi="微软雅黑" w:eastAsia="微软雅黑"/>
                <w:sz w:val="20"/>
              </w:rPr>
              <w:t>多部门、多层级文件交叉，一线教育工作者难以全面掌握</w:t>
            </w:r>
          </w:p>
        </w:tc>
      </w:tr>
      <w:tr>
        <w:tc>
          <w:tcPr>
            <w:tcW w:type="dxa" w:w="3022"/>
          </w:tcPr>
          <w:p>
            <w:r/>
            <w:r>
              <w:rPr>
                <w:rFonts w:ascii="微软雅黑" w:hAnsi="微软雅黑" w:eastAsia="微软雅黑"/>
                <w:sz w:val="20"/>
              </w:rPr>
              <w:t>2</w:t>
            </w:r>
          </w:p>
        </w:tc>
        <w:tc>
          <w:tcPr>
            <w:tcW w:type="dxa" w:w="3022"/>
          </w:tcPr>
          <w:p>
            <w:r/>
            <w:r>
              <w:rPr>
                <w:rFonts w:ascii="微软雅黑" w:hAnsi="微软雅黑" w:eastAsia="微软雅黑"/>
                <w:sz w:val="20"/>
              </w:rPr>
              <w:t>解读门槛高</w:t>
            </w:r>
          </w:p>
        </w:tc>
        <w:tc>
          <w:tcPr>
            <w:tcW w:type="dxa" w:w="3022"/>
          </w:tcPr>
          <w:p>
            <w:r/>
            <w:r>
              <w:rPr>
                <w:rFonts w:ascii="微软雅黑" w:hAnsi="微软雅黑" w:eastAsia="微软雅黑"/>
                <w:sz w:val="20"/>
              </w:rPr>
              <w:t>政策语言专业性强，不同角色关注点不同，缺乏个性化解读</w:t>
            </w:r>
          </w:p>
        </w:tc>
      </w:tr>
      <w:tr>
        <w:tc>
          <w:tcPr>
            <w:tcW w:type="dxa" w:w="3022"/>
          </w:tcPr>
          <w:p>
            <w:r/>
            <w:r>
              <w:rPr>
                <w:rFonts w:ascii="微软雅黑" w:hAnsi="微软雅黑" w:eastAsia="微软雅黑"/>
                <w:sz w:val="20"/>
              </w:rPr>
              <w:t>3</w:t>
            </w:r>
          </w:p>
        </w:tc>
        <w:tc>
          <w:tcPr>
            <w:tcW w:type="dxa" w:w="3022"/>
          </w:tcPr>
          <w:p>
            <w:r/>
            <w:r>
              <w:rPr>
                <w:rFonts w:ascii="微软雅黑" w:hAnsi="微软雅黑" w:eastAsia="微软雅黑"/>
                <w:sz w:val="20"/>
              </w:rPr>
              <w:t>实践经验难复用</w:t>
            </w:r>
          </w:p>
        </w:tc>
        <w:tc>
          <w:tcPr>
            <w:tcW w:type="dxa" w:w="3022"/>
          </w:tcPr>
          <w:p>
            <w:r/>
            <w:r>
              <w:rPr>
                <w:rFonts w:ascii="微软雅黑" w:hAnsi="微软雅黑" w:eastAsia="微软雅黑"/>
                <w:sz w:val="20"/>
              </w:rPr>
              <w:t>优秀案例散落各地，缺乏统一归集、脱敏和推荐机制</w:t>
            </w:r>
          </w:p>
        </w:tc>
      </w:tr>
      <w:tr>
        <w:tc>
          <w:tcPr>
            <w:tcW w:type="dxa" w:w="3022"/>
          </w:tcPr>
          <w:p>
            <w:r/>
            <w:r>
              <w:rPr>
                <w:rFonts w:ascii="微软雅黑" w:hAnsi="微软雅黑" w:eastAsia="微软雅黑"/>
                <w:sz w:val="20"/>
              </w:rPr>
              <w:t>4</w:t>
            </w:r>
          </w:p>
        </w:tc>
        <w:tc>
          <w:tcPr>
            <w:tcW w:type="dxa" w:w="3022"/>
          </w:tcPr>
          <w:p>
            <w:r/>
            <w:r>
              <w:rPr>
                <w:rFonts w:ascii="微软雅黑" w:hAnsi="微软雅黑" w:eastAsia="微软雅黑"/>
                <w:sz w:val="20"/>
              </w:rPr>
              <w:t>流程指导缺乏个性化</w:t>
            </w:r>
          </w:p>
        </w:tc>
        <w:tc>
          <w:tcPr>
            <w:tcW w:type="dxa" w:w="3022"/>
          </w:tcPr>
          <w:p>
            <w:r/>
            <w:r>
              <w:rPr>
                <w:rFonts w:ascii="微软雅黑" w:hAnsi="微软雅黑" w:eastAsia="微软雅黑"/>
                <w:sz w:val="20"/>
              </w:rPr>
              <w:t>线下培训覆盖面有限，无法针对具体校情提供差异化指引</w:t>
            </w:r>
          </w:p>
        </w:tc>
      </w:tr>
      <w:tr>
        <w:tc>
          <w:tcPr>
            <w:tcW w:type="dxa" w:w="3022"/>
          </w:tcPr>
          <w:p>
            <w:r/>
            <w:r>
              <w:rPr>
                <w:rFonts w:ascii="微软雅黑" w:hAnsi="微软雅黑" w:eastAsia="微软雅黑"/>
                <w:sz w:val="20"/>
              </w:rPr>
              <w:t>5</w:t>
            </w:r>
          </w:p>
        </w:tc>
        <w:tc>
          <w:tcPr>
            <w:tcW w:type="dxa" w:w="3022"/>
          </w:tcPr>
          <w:p>
            <w:r/>
            <w:r>
              <w:rPr>
                <w:rFonts w:ascii="微软雅黑" w:hAnsi="微软雅黑" w:eastAsia="微软雅黑"/>
                <w:sz w:val="20"/>
              </w:rPr>
              <w:t>信息传递效率低</w:t>
            </w:r>
          </w:p>
        </w:tc>
        <w:tc>
          <w:tcPr>
            <w:tcW w:type="dxa" w:w="3022"/>
          </w:tcPr>
          <w:p>
            <w:r/>
            <w:r>
              <w:rPr>
                <w:rFonts w:ascii="微软雅黑" w:hAnsi="微软雅黑" w:eastAsia="微软雅黑"/>
                <w:sz w:val="20"/>
              </w:rPr>
              <w:t>依赖文件下发和集中培训，响应周期长、触达率低</w:t>
            </w:r>
          </w:p>
        </w:tc>
      </w:tr>
    </w:tbl>
    <w:p/>
    <w:p>
      <w:pPr>
        <w:pStyle w:val="Heading3"/>
      </w:pPr>
      <w:r>
        <w:t>1.3 项目定位</w:t>
      </w:r>
    </w:p>
    <w:p>
      <w:r>
        <w:rPr>
          <w:rFonts w:ascii="微软雅黑" w:hAnsi="微软雅黑" w:eastAsia="微软雅黑"/>
          <w:sz w:val="22"/>
        </w:rPr>
        <w:t xml:space="preserve">本项目定位为集 </w:t>
      </w:r>
      <w:r>
        <w:rPr>
          <w:rFonts w:ascii="微软雅黑" w:hAnsi="微软雅黑" w:eastAsia="微软雅黑"/>
          <w:b/>
          <w:sz w:val="22"/>
        </w:rPr>
        <w:t>"政策解读器、规划引导员、案例推荐官、流程导航仪"</w:t>
      </w:r>
      <w:r>
        <w:rPr>
          <w:rFonts w:ascii="微软雅黑" w:hAnsi="微软雅黑" w:eastAsia="微软雅黑"/>
          <w:sz w:val="22"/>
        </w:rPr>
        <w:t xml:space="preserve"> 于一体的智能化业务赋能平台。以对话式交互为核心载体，嵌入校共体网站（edu.51xiaoping.com），面向6类角色提供7×24小时在线智能服务，一次性全功能交付。</w:t>
      </w:r>
    </w:p>
    <w:p>
      <w:pPr>
        <w:pStyle w:val="Heading2"/>
      </w:pPr>
      <w:r>
        <w:t>二、建设目标</w:t>
      </w:r>
    </w:p>
    <w:p>
      <w:pPr>
        <w:pStyle w:val="Heading3"/>
      </w:pPr>
      <w:r>
        <w:t>2.1 总体目标</w:t>
      </w:r>
    </w:p>
    <w:p>
      <w:r>
        <w:rPr>
          <w:rFonts w:ascii="微软雅黑" w:hAnsi="微软雅黑" w:eastAsia="微软雅黑"/>
          <w:sz w:val="22"/>
        </w:rPr>
        <w:t>构建一个嵌入校共体网站的智能问答助手，通过自然语言交互，将静态政策文件与动态实践经验转化为</w:t>
      </w:r>
      <w:r>
        <w:rPr>
          <w:rFonts w:ascii="微软雅黑" w:hAnsi="微软雅黑" w:eastAsia="微软雅黑"/>
          <w:b/>
          <w:sz w:val="22"/>
        </w:rPr>
        <w:t>可交互、可执行、可追溯</w:t>
      </w:r>
      <w:r>
        <w:rPr>
          <w:rFonts w:ascii="微软雅黑" w:hAnsi="微软雅黑" w:eastAsia="微软雅黑"/>
          <w:sz w:val="22"/>
        </w:rPr>
        <w:t>的个性化指导服务，有效降低制度性成本，提升校共体建设的规范化、科学化与智能化水平。</w:t>
      </w:r>
    </w:p>
    <w:p>
      <w:pPr>
        <w:pStyle w:val="Heading3"/>
      </w:pPr>
      <w:r>
        <w:t>2.2 具体目标</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目标维度</w:t>
            </w:r>
          </w:p>
        </w:tc>
        <w:tc>
          <w:tcPr>
            <w:tcW w:type="dxa" w:w="4533"/>
            <w:shd w:val="clear" w:color="auto" w:fill="D6E4F0"/>
          </w:tcPr>
          <w:p>
            <w:pPr>
              <w:jc w:val="center"/>
            </w:pPr>
            <w:r/>
            <w:r>
              <w:rPr>
                <w:rFonts w:ascii="微软雅黑" w:hAnsi="微软雅黑" w:eastAsia="微软雅黑"/>
                <w:b/>
                <w:sz w:val="20"/>
              </w:rPr>
              <w:t>具体指标</w:t>
            </w:r>
          </w:p>
        </w:tc>
      </w:tr>
      <w:tr>
        <w:tc>
          <w:tcPr>
            <w:tcW w:type="dxa" w:w="4533"/>
          </w:tcPr>
          <w:p>
            <w:r/>
            <w:r>
              <w:rPr>
                <w:rFonts w:ascii="微软雅黑" w:hAnsi="微软雅黑" w:eastAsia="微软雅黑"/>
                <w:sz w:val="20"/>
              </w:rPr>
              <w:t>**精准服务**</w:t>
            </w:r>
          </w:p>
        </w:tc>
        <w:tc>
          <w:tcPr>
            <w:tcW w:type="dxa" w:w="4533"/>
          </w:tcPr>
          <w:p>
            <w:r/>
            <w:r>
              <w:rPr>
                <w:rFonts w:ascii="微软雅黑" w:hAnsi="微软雅黑" w:eastAsia="微软雅黑"/>
                <w:sz w:val="20"/>
              </w:rPr>
              <w:t>基于知识库实现政策问答准确率≥85%，每条回答强制引用政策出处</w:t>
            </w:r>
          </w:p>
        </w:tc>
      </w:tr>
      <w:tr>
        <w:tc>
          <w:tcPr>
            <w:tcW w:type="dxa" w:w="4533"/>
          </w:tcPr>
          <w:p>
            <w:r/>
            <w:r>
              <w:rPr>
                <w:rFonts w:ascii="微软雅黑" w:hAnsi="微软雅黑" w:eastAsia="微软雅黑"/>
                <w:sz w:val="20"/>
              </w:rPr>
              <w:t>**角色适配**</w:t>
            </w:r>
          </w:p>
        </w:tc>
        <w:tc>
          <w:tcPr>
            <w:tcW w:type="dxa" w:w="4533"/>
          </w:tcPr>
          <w:p>
            <w:r/>
            <w:r>
              <w:rPr>
                <w:rFonts w:ascii="微软雅黑" w:hAnsi="微软雅黑" w:eastAsia="微软雅黑"/>
                <w:sz w:val="20"/>
              </w:rPr>
              <w:t>面向6类角色（管理者、牵头校、城镇成员校、乡村成员校、研究人员、其他）提供差异化服务</w:t>
            </w:r>
          </w:p>
        </w:tc>
      </w:tr>
      <w:tr>
        <w:tc>
          <w:tcPr>
            <w:tcW w:type="dxa" w:w="4533"/>
          </w:tcPr>
          <w:p>
            <w:r/>
            <w:r>
              <w:rPr>
                <w:rFonts w:ascii="微软雅黑" w:hAnsi="微软雅黑" w:eastAsia="微软雅黑"/>
                <w:sz w:val="20"/>
              </w:rPr>
              <w:t>**响应效率**</w:t>
            </w:r>
          </w:p>
        </w:tc>
        <w:tc>
          <w:tcPr>
            <w:tcW w:type="dxa" w:w="4533"/>
          </w:tcPr>
          <w:p>
            <w:r/>
            <w:r>
              <w:rPr>
                <w:rFonts w:ascii="微软雅黑" w:hAnsi="微软雅黑" w:eastAsia="微软雅黑"/>
                <w:sz w:val="20"/>
              </w:rPr>
              <w:t>95%的查询3秒内响应，峰值支持≥500并发用户</w:t>
            </w:r>
          </w:p>
        </w:tc>
      </w:tr>
      <w:tr>
        <w:tc>
          <w:tcPr>
            <w:tcW w:type="dxa" w:w="4533"/>
          </w:tcPr>
          <w:p>
            <w:r/>
            <w:r>
              <w:rPr>
                <w:rFonts w:ascii="微软雅黑" w:hAnsi="微软雅黑" w:eastAsia="微软雅黑"/>
                <w:sz w:val="20"/>
              </w:rPr>
              <w:t>**知识进化**</w:t>
            </w:r>
          </w:p>
        </w:tc>
        <w:tc>
          <w:tcPr>
            <w:tcW w:type="dxa" w:w="4533"/>
          </w:tcPr>
          <w:p>
            <w:r/>
            <w:r>
              <w:rPr>
                <w:rFonts w:ascii="微软雅黑" w:hAnsi="微软雅黑" w:eastAsia="微软雅黑"/>
                <w:sz w:val="20"/>
              </w:rPr>
              <w:t>建立"用户反馈→运营审核→知识入库"闭环，实现知识库持续自进化</w:t>
            </w:r>
          </w:p>
        </w:tc>
      </w:tr>
      <w:tr>
        <w:tc>
          <w:tcPr>
            <w:tcW w:type="dxa" w:w="4533"/>
          </w:tcPr>
          <w:p>
            <w:r/>
            <w:r>
              <w:rPr>
                <w:rFonts w:ascii="微软雅黑" w:hAnsi="微软雅黑" w:eastAsia="微软雅黑"/>
                <w:sz w:val="20"/>
              </w:rPr>
              <w:t>**安全合规**</w:t>
            </w:r>
          </w:p>
        </w:tc>
        <w:tc>
          <w:tcPr>
            <w:tcW w:type="dxa" w:w="4533"/>
          </w:tcPr>
          <w:p>
            <w:r/>
            <w:r>
              <w:rPr>
                <w:rFonts w:ascii="微软雅黑" w:hAnsi="微软雅黑" w:eastAsia="微软雅黑"/>
                <w:sz w:val="20"/>
              </w:rPr>
              <w:t>全程HTTPS加密、敏感信息脱敏、双向敏感词过滤、AI输出免责声明</w:t>
            </w:r>
          </w:p>
        </w:tc>
      </w:tr>
      <w:tr>
        <w:tc>
          <w:tcPr>
            <w:tcW w:type="dxa" w:w="4533"/>
          </w:tcPr>
          <w:p>
            <w:r/>
            <w:r>
              <w:rPr>
                <w:rFonts w:ascii="微软雅黑" w:hAnsi="微软雅黑" w:eastAsia="微软雅黑"/>
                <w:sz w:val="20"/>
              </w:rPr>
              <w:t>**低门槛使用**</w:t>
            </w:r>
          </w:p>
        </w:tc>
        <w:tc>
          <w:tcPr>
            <w:tcW w:type="dxa" w:w="4533"/>
          </w:tcPr>
          <w:p>
            <w:r/>
            <w:r>
              <w:rPr>
                <w:rFonts w:ascii="微软雅黑" w:hAnsi="微软雅黑" w:eastAsia="微软雅黑"/>
                <w:sz w:val="20"/>
              </w:rPr>
              <w:t>支持口语化提问、错别字容错，乡村教师首次使用即可完成基本问答</w:t>
            </w:r>
          </w:p>
        </w:tc>
      </w:tr>
    </w:tbl>
    <w:p/>
    <w:p>
      <w:pPr>
        <w:pStyle w:val="Heading2"/>
      </w:pPr>
      <w:r>
        <w:t>三、服务对象与角色体系</w:t>
      </w:r>
    </w:p>
    <w:p>
      <w:pPr>
        <w:pStyle w:val="Heading3"/>
      </w:pPr>
      <w:r>
        <w:t>3.1 服务对象</w:t>
      </w:r>
    </w:p>
    <w:p>
      <w:r>
        <w:rPr>
          <w:rFonts w:ascii="微软雅黑" w:hAnsi="微软雅黑" w:eastAsia="微软雅黑"/>
          <w:sz w:val="22"/>
        </w:rPr>
        <w:t>本系统面向河南省城乡学校共同体建设的全链条参与者，覆盖6类核心角色：</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D6E4F0"/>
          </w:tcPr>
          <w:p>
            <w:pPr>
              <w:jc w:val="center"/>
            </w:pPr>
            <w:r/>
            <w:r>
              <w:rPr>
                <w:rFonts w:ascii="微软雅黑" w:hAnsi="微软雅黑" w:eastAsia="微软雅黑"/>
                <w:b/>
                <w:sz w:val="20"/>
              </w:rPr>
              <w:t>角色</w:t>
            </w:r>
          </w:p>
        </w:tc>
        <w:tc>
          <w:tcPr>
            <w:tcW w:type="dxa" w:w="2266"/>
            <w:shd w:val="clear" w:color="auto" w:fill="D6E4F0"/>
          </w:tcPr>
          <w:p>
            <w:pPr>
              <w:jc w:val="center"/>
            </w:pPr>
            <w:r/>
            <w:r>
              <w:rPr>
                <w:rFonts w:ascii="微软雅黑" w:hAnsi="微软雅黑" w:eastAsia="微软雅黑"/>
                <w:b/>
                <w:sz w:val="20"/>
              </w:rPr>
              <w:t>描述</w:t>
            </w:r>
          </w:p>
        </w:tc>
        <w:tc>
          <w:tcPr>
            <w:tcW w:type="dxa" w:w="2266"/>
            <w:shd w:val="clear" w:color="auto" w:fill="D6E4F0"/>
          </w:tcPr>
          <w:p>
            <w:pPr>
              <w:jc w:val="center"/>
            </w:pPr>
            <w:r/>
            <w:r>
              <w:rPr>
                <w:rFonts w:ascii="微软雅黑" w:hAnsi="微软雅黑" w:eastAsia="微软雅黑"/>
                <w:b/>
                <w:sz w:val="20"/>
              </w:rPr>
              <w:t>核心诉求</w:t>
            </w:r>
          </w:p>
        </w:tc>
        <w:tc>
          <w:tcPr>
            <w:tcW w:type="dxa" w:w="2266"/>
            <w:shd w:val="clear" w:color="auto" w:fill="D6E4F0"/>
          </w:tcPr>
          <w:p>
            <w:pPr>
              <w:jc w:val="center"/>
            </w:pPr>
            <w:r/>
            <w:r>
              <w:rPr>
                <w:rFonts w:ascii="微软雅黑" w:hAnsi="微软雅黑" w:eastAsia="微软雅黑"/>
                <w:b/>
                <w:sz w:val="20"/>
              </w:rPr>
              <w:t>服务侧重</w:t>
            </w:r>
          </w:p>
        </w:tc>
      </w:tr>
      <w:tr>
        <w:tc>
          <w:tcPr>
            <w:tcW w:type="dxa" w:w="2266"/>
          </w:tcPr>
          <w:p>
            <w:r/>
            <w:r>
              <w:rPr>
                <w:rFonts w:ascii="微软雅黑" w:hAnsi="微软雅黑" w:eastAsia="微软雅黑"/>
                <w:sz w:val="20"/>
              </w:rPr>
              <w:t>**区域教育管理人员**</w:t>
            </w:r>
          </w:p>
        </w:tc>
        <w:tc>
          <w:tcPr>
            <w:tcW w:type="dxa" w:w="2266"/>
          </w:tcPr>
          <w:p>
            <w:r/>
            <w:r>
              <w:rPr>
                <w:rFonts w:ascii="微软雅黑" w:hAnsi="微软雅黑" w:eastAsia="微软雅黑"/>
                <w:sz w:val="20"/>
              </w:rPr>
              <w:t>市、县级教育行政部门管理者</w:t>
            </w:r>
          </w:p>
        </w:tc>
        <w:tc>
          <w:tcPr>
            <w:tcW w:type="dxa" w:w="2266"/>
          </w:tcPr>
          <w:p>
            <w:r/>
            <w:r>
              <w:rPr>
                <w:rFonts w:ascii="微软雅黑" w:hAnsi="微软雅黑" w:eastAsia="微软雅黑"/>
                <w:sz w:val="20"/>
              </w:rPr>
              <w:t>快速获取政策解读、管理决策支持</w:t>
            </w:r>
          </w:p>
        </w:tc>
        <w:tc>
          <w:tcPr>
            <w:tcW w:type="dxa" w:w="2266"/>
          </w:tcPr>
          <w:p>
            <w:r/>
            <w:r>
              <w:rPr>
                <w:rFonts w:ascii="微软雅黑" w:hAnsi="微软雅黑" w:eastAsia="微软雅黑"/>
                <w:sz w:val="20"/>
              </w:rPr>
              <w:t>宏观政策分析、区域对标</w:t>
            </w:r>
          </w:p>
        </w:tc>
      </w:tr>
      <w:tr>
        <w:tc>
          <w:tcPr>
            <w:tcW w:type="dxa" w:w="2266"/>
          </w:tcPr>
          <w:p>
            <w:r/>
            <w:r>
              <w:rPr>
                <w:rFonts w:ascii="微软雅黑" w:hAnsi="微软雅黑" w:eastAsia="微软雅黑"/>
                <w:sz w:val="20"/>
              </w:rPr>
              <w:t>**校共体核心牵头校人员**</w:t>
            </w:r>
          </w:p>
        </w:tc>
        <w:tc>
          <w:tcPr>
            <w:tcW w:type="dxa" w:w="2266"/>
          </w:tcPr>
          <w:p>
            <w:r/>
            <w:r>
              <w:rPr>
                <w:rFonts w:ascii="微软雅黑" w:hAnsi="微软雅黑" w:eastAsia="微软雅黑"/>
                <w:sz w:val="20"/>
              </w:rPr>
              <w:t>校共体牵头学校校长/骨干教师</w:t>
            </w:r>
          </w:p>
        </w:tc>
        <w:tc>
          <w:tcPr>
            <w:tcW w:type="dxa" w:w="2266"/>
          </w:tcPr>
          <w:p>
            <w:r/>
            <w:r>
              <w:rPr>
                <w:rFonts w:ascii="微软雅黑" w:hAnsi="微软雅黑" w:eastAsia="微软雅黑"/>
                <w:sz w:val="20"/>
              </w:rPr>
              <w:t>结对指导、经验分享、流程规范</w:t>
            </w:r>
          </w:p>
        </w:tc>
        <w:tc>
          <w:tcPr>
            <w:tcW w:type="dxa" w:w="2266"/>
          </w:tcPr>
          <w:p>
            <w:r/>
            <w:r>
              <w:rPr>
                <w:rFonts w:ascii="微软雅黑" w:hAnsi="微软雅黑" w:eastAsia="微软雅黑"/>
                <w:sz w:val="20"/>
              </w:rPr>
              <w:t>结对模式指引、管理经验</w:t>
            </w:r>
          </w:p>
        </w:tc>
      </w:tr>
      <w:tr>
        <w:tc>
          <w:tcPr>
            <w:tcW w:type="dxa" w:w="2266"/>
          </w:tcPr>
          <w:p>
            <w:r/>
            <w:r>
              <w:rPr>
                <w:rFonts w:ascii="微软雅黑" w:hAnsi="微软雅黑" w:eastAsia="微软雅黑"/>
                <w:sz w:val="20"/>
              </w:rPr>
              <w:t>**校共体成员校人员（城镇）**</w:t>
            </w:r>
          </w:p>
        </w:tc>
        <w:tc>
          <w:tcPr>
            <w:tcW w:type="dxa" w:w="2266"/>
          </w:tcPr>
          <w:p>
            <w:r/>
            <w:r>
              <w:rPr>
                <w:rFonts w:ascii="微软雅黑" w:hAnsi="微软雅黑" w:eastAsia="微软雅黑"/>
                <w:sz w:val="20"/>
              </w:rPr>
              <w:t>城镇学校参与校共体的教师</w:t>
            </w:r>
          </w:p>
        </w:tc>
        <w:tc>
          <w:tcPr>
            <w:tcW w:type="dxa" w:w="2266"/>
          </w:tcPr>
          <w:p>
            <w:r/>
            <w:r>
              <w:rPr>
                <w:rFonts w:ascii="微软雅黑" w:hAnsi="微软雅黑" w:eastAsia="微软雅黑"/>
                <w:sz w:val="20"/>
              </w:rPr>
              <w:t>教学案例学习、资源获取</w:t>
            </w:r>
          </w:p>
        </w:tc>
        <w:tc>
          <w:tcPr>
            <w:tcW w:type="dxa" w:w="2266"/>
          </w:tcPr>
          <w:p>
            <w:r/>
            <w:r>
              <w:rPr>
                <w:rFonts w:ascii="微软雅黑" w:hAnsi="微软雅黑" w:eastAsia="微软雅黑"/>
                <w:sz w:val="20"/>
              </w:rPr>
              <w:t>实践案例、课程资源</w:t>
            </w:r>
          </w:p>
        </w:tc>
      </w:tr>
      <w:tr>
        <w:tc>
          <w:tcPr>
            <w:tcW w:type="dxa" w:w="2266"/>
          </w:tcPr>
          <w:p>
            <w:r/>
            <w:r>
              <w:rPr>
                <w:rFonts w:ascii="微软雅黑" w:hAnsi="微软雅黑" w:eastAsia="微软雅黑"/>
                <w:sz w:val="20"/>
              </w:rPr>
              <w:t>**校共体成员校人员（乡村）**</w:t>
            </w:r>
          </w:p>
        </w:tc>
        <w:tc>
          <w:tcPr>
            <w:tcW w:type="dxa" w:w="2266"/>
          </w:tcPr>
          <w:p>
            <w:r/>
            <w:r>
              <w:rPr>
                <w:rFonts w:ascii="微软雅黑" w:hAnsi="微软雅黑" w:eastAsia="微软雅黑"/>
                <w:sz w:val="20"/>
              </w:rPr>
              <w:t>乡村学校参与校共体的教师</w:t>
            </w:r>
          </w:p>
        </w:tc>
        <w:tc>
          <w:tcPr>
            <w:tcW w:type="dxa" w:w="2266"/>
          </w:tcPr>
          <w:p>
            <w:r/>
            <w:r>
              <w:rPr>
                <w:rFonts w:ascii="微软雅黑" w:hAnsi="微软雅黑" w:eastAsia="微软雅黑"/>
                <w:sz w:val="20"/>
              </w:rPr>
              <w:t>低门槛操作、直白易懂的指导</w:t>
            </w:r>
          </w:p>
        </w:tc>
        <w:tc>
          <w:tcPr>
            <w:tcW w:type="dxa" w:w="2266"/>
          </w:tcPr>
          <w:p>
            <w:r/>
            <w:r>
              <w:rPr>
                <w:rFonts w:ascii="微软雅黑" w:hAnsi="微软雅黑" w:eastAsia="微软雅黑"/>
                <w:sz w:val="20"/>
              </w:rPr>
              <w:t>简洁指引、操作步骤</w:t>
            </w:r>
          </w:p>
        </w:tc>
      </w:tr>
      <w:tr>
        <w:tc>
          <w:tcPr>
            <w:tcW w:type="dxa" w:w="2266"/>
          </w:tcPr>
          <w:p>
            <w:r/>
            <w:r>
              <w:rPr>
                <w:rFonts w:ascii="微软雅黑" w:hAnsi="微软雅黑" w:eastAsia="微软雅黑"/>
                <w:sz w:val="20"/>
              </w:rPr>
              <w:t>**研究人员**</w:t>
            </w:r>
          </w:p>
        </w:tc>
        <w:tc>
          <w:tcPr>
            <w:tcW w:type="dxa" w:w="2266"/>
          </w:tcPr>
          <w:p>
            <w:r/>
            <w:r>
              <w:rPr>
                <w:rFonts w:ascii="微软雅黑" w:hAnsi="微软雅黑" w:eastAsia="微软雅黑"/>
                <w:sz w:val="20"/>
              </w:rPr>
              <w:t>教育研究者</w:t>
            </w:r>
          </w:p>
        </w:tc>
        <w:tc>
          <w:tcPr>
            <w:tcW w:type="dxa" w:w="2266"/>
          </w:tcPr>
          <w:p>
            <w:r/>
            <w:r>
              <w:rPr>
                <w:rFonts w:ascii="微软雅黑" w:hAnsi="微软雅黑" w:eastAsia="微软雅黑"/>
                <w:sz w:val="20"/>
              </w:rPr>
              <w:t>深度政策分析、数据文献引用</w:t>
            </w:r>
          </w:p>
        </w:tc>
        <w:tc>
          <w:tcPr>
            <w:tcW w:type="dxa" w:w="2266"/>
          </w:tcPr>
          <w:p>
            <w:r/>
            <w:r>
              <w:rPr>
                <w:rFonts w:ascii="微软雅黑" w:hAnsi="微软雅黑" w:eastAsia="微软雅黑"/>
                <w:sz w:val="20"/>
              </w:rPr>
              <w:t>深度解读、文献溯源</w:t>
            </w:r>
          </w:p>
        </w:tc>
      </w:tr>
      <w:tr>
        <w:tc>
          <w:tcPr>
            <w:tcW w:type="dxa" w:w="2266"/>
          </w:tcPr>
          <w:p>
            <w:r/>
            <w:r>
              <w:rPr>
                <w:rFonts w:ascii="微软雅黑" w:hAnsi="微软雅黑" w:eastAsia="微软雅黑"/>
                <w:sz w:val="20"/>
              </w:rPr>
              <w:t>**其他人员**</w:t>
            </w:r>
          </w:p>
        </w:tc>
        <w:tc>
          <w:tcPr>
            <w:tcW w:type="dxa" w:w="2266"/>
          </w:tcPr>
          <w:p>
            <w:r/>
            <w:r>
              <w:rPr>
                <w:rFonts w:ascii="微软雅黑" w:hAnsi="微软雅黑" w:eastAsia="微软雅黑"/>
                <w:sz w:val="20"/>
              </w:rPr>
              <w:t>关注校共体建设的社会人士</w:t>
            </w:r>
          </w:p>
        </w:tc>
        <w:tc>
          <w:tcPr>
            <w:tcW w:type="dxa" w:w="2266"/>
          </w:tcPr>
          <w:p>
            <w:r/>
            <w:r>
              <w:rPr>
                <w:rFonts w:ascii="微软雅黑" w:hAnsi="微软雅黑" w:eastAsia="微软雅黑"/>
                <w:sz w:val="20"/>
              </w:rPr>
              <w:t>了解校共体基本情况</w:t>
            </w:r>
          </w:p>
        </w:tc>
        <w:tc>
          <w:tcPr>
            <w:tcW w:type="dxa" w:w="2266"/>
          </w:tcPr>
          <w:p>
            <w:r/>
            <w:r>
              <w:rPr>
                <w:rFonts w:ascii="微软雅黑" w:hAnsi="微软雅黑" w:eastAsia="微软雅黑"/>
                <w:sz w:val="20"/>
              </w:rPr>
              <w:t>通用问答</w:t>
            </w:r>
          </w:p>
        </w:tc>
      </w:tr>
    </w:tbl>
    <w:p/>
    <w:p>
      <w:pPr>
        <w:pStyle w:val="Heading3"/>
      </w:pPr>
      <w:r>
        <w:t>3.2 运营管理角色</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角色</w:t>
            </w:r>
          </w:p>
        </w:tc>
        <w:tc>
          <w:tcPr>
            <w:tcW w:type="dxa" w:w="4533"/>
            <w:shd w:val="clear" w:color="auto" w:fill="D6E4F0"/>
          </w:tcPr>
          <w:p>
            <w:pPr>
              <w:jc w:val="center"/>
            </w:pPr>
            <w:r/>
            <w:r>
              <w:rPr>
                <w:rFonts w:ascii="微软雅黑" w:hAnsi="微软雅黑" w:eastAsia="微软雅黑"/>
                <w:b/>
                <w:sz w:val="20"/>
              </w:rPr>
              <w:t>职责</w:t>
            </w:r>
          </w:p>
        </w:tc>
      </w:tr>
      <w:tr>
        <w:tc>
          <w:tcPr>
            <w:tcW w:type="dxa" w:w="4533"/>
          </w:tcPr>
          <w:p>
            <w:r/>
            <w:r>
              <w:rPr>
                <w:rFonts w:ascii="微软雅黑" w:hAnsi="微软雅黑" w:eastAsia="微软雅黑"/>
                <w:sz w:val="20"/>
              </w:rPr>
              <w:t>**运营人员**</w:t>
            </w:r>
          </w:p>
        </w:tc>
        <w:tc>
          <w:tcPr>
            <w:tcW w:type="dxa" w:w="4533"/>
          </w:tcPr>
          <w:p>
            <w:r/>
            <w:r>
              <w:rPr>
                <w:rFonts w:ascii="微软雅黑" w:hAnsi="微软雅黑" w:eastAsia="微软雅黑"/>
                <w:sz w:val="20"/>
              </w:rPr>
              <w:t>知识库管理、内容审核、反馈处理、配置维护、数据分析</w:t>
            </w:r>
          </w:p>
        </w:tc>
      </w:tr>
    </w:tbl>
    <w:p/>
    <w:p>
      <w:pPr>
        <w:pStyle w:val="Heading2"/>
      </w:pPr>
      <w:r>
        <w:t>四、核心功能规划</w:t>
      </w:r>
    </w:p>
    <w:p>
      <w:pPr>
        <w:pStyle w:val="Heading3"/>
      </w:pPr>
      <w:r>
        <w:t>4.1 功能全景图</w:t>
      </w:r>
    </w:p>
    <w:p>
      <w:pPr>
        <w:spacing w:before="80" w:after="80"/>
        <w:ind w:left="567"/>
      </w:pPr>
      <w:r>
        <w:rPr>
          <w:rFonts w:ascii="Consolas" w:hAnsi="Consolas"/>
          <w:color w:val="333333"/>
          <w:sz w:val="18"/>
          <w:shd w:val="clear" w:color="auto" w:fill="F5F5F5"/>
        </w:rPr>
        <w:t>┌─────────────────────────────────────────────────────────────────┐</w:t>
        <w:br/>
        <w:t>│                     校共体AI智能助手                              │</w:t>
        <w:br/>
        <w:t>├─────────────────────────────────────────────────────────────────┤</w:t>
        <w:br/>
        <w:t>│                                                                 │</w:t>
        <w:br/>
        <w:t>│  ┌──────────────┐  ┌──────────────┐  ┌───────────────────────┐ │</w:t>
        <w:br/>
        <w:t>│  │  用户系统     │  │  智能问答     │  │  角色化服务与推荐     │ │</w:t>
        <w:br/>
        <w:t>│  │              │  │              │  │                       │ │</w:t>
        <w:br/>
        <w:t>│  │ · 手机号注册  │  │ · RAG政策问答 │  │ · 角色差异化回复      │ │</w:t>
        <w:br/>
        <w:t>│  │ · 验证码登录  │  │ · 多轮对话    │  │ · 个性化资源推送      │ │</w:t>
        <w:br/>
        <w:t>│  │ · 角色选择    │  │ · 强制引用溯源│  │ · 智能案例推荐        │ │</w:t>
        <w:br/>
        <w:t>│  │ · JWT认证    │  │ · 话题感知    │  │ · 推荐问题(一问一答)  │ │</w:t>
        <w:br/>
        <w:t>│  │ · 会话保持    │  │ · 流式输出    │  │ · 侧边栏动态内容      │ │</w:t>
        <w:br/>
        <w:t>│  └──────────────┘  └──────────────┘  └───────────────────────┘ │</w:t>
        <w:br/>
        <w:t>│                                                                 │</w:t>
        <w:br/>
        <w:t>│  ┌──────────────┐  ┌──────────────┐  ┌───────────────────────┐ │</w:t>
        <w:br/>
        <w:t>│  │  知识库引擎   │  │  安全合规     │  │  用户反馈与进化       │ │</w:t>
        <w:br/>
        <w:t>│  │              │  │              │  │                       │ │</w:t>
        <w:br/>
        <w:t>│  │ · 文档解析    │  │ · 免责声明    │  │ · 满意度评分(1-5)    │ │</w:t>
        <w:br/>
        <w:t>│  │  (PDF/Word)  │  │ · 敏感词过滤  │  │ · 不满意原因收集      │ │</w:t>
        <w:br/>
        <w:t>│  │ · 向量化入库  │  │  (双向)      │  │ · 提交运营处理        │ │</w:t>
        <w:br/>
        <w:t>│  │ · 混合检索    │  │ · 隐私检测    │  │ · 优质问答入库        │ │</w:t>
        <w:br/>
        <w:t>│  │ · 重排序      │  │ · 日志脱敏    │  │ · 用户问题自动归集    │ │</w:t>
        <w:br/>
        <w:t>│  │ · 语义缓存    │  │ · 幻觉检测    │  │ · 反馈记录可查        │ │</w:t>
        <w:br/>
        <w:t>│  │ · 平台数据同步│  │ · 操作审计    │  │                       │ │</w:t>
        <w:br/>
        <w:t>│  └──────────────┘  └──────────────┘  └───────────────────────┘ │</w:t>
        <w:br/>
        <w:t>│                                                                 │</w:t>
        <w:br/>
        <w:t>│  ┌──────────────────────────────────────────────────────────┐  │</w:t>
        <w:br/>
        <w:t>│  │                      运营管理后台                          │  │</w:t>
        <w:br/>
        <w:t>│  │                                                          │  │</w:t>
        <w:br/>
        <w:t>│  │  知识库管理 · 文件上传 · 脱敏审核 · 反馈处理 · 对话日志   │  │</w:t>
        <w:br/>
        <w:t>│  │  内容配置 · 推荐问题管理 · 系统配置 · 数据统计            │  │</w:t>
        <w:br/>
        <w:t>│  └──────────────────────────────────────────────────────────┘  │</w:t>
        <w:br/>
        <w:t>└─────────────────────────────────────────────────────────────────┘</w:t>
      </w:r>
    </w:p>
    <w:p>
      <w:pPr>
        <w:pStyle w:val="Heading3"/>
      </w:pPr>
      <w:r>
        <w:t>4.2 核心功能清单</w:t>
      </w:r>
    </w:p>
    <w:p>
      <w:pPr>
        <w:pStyle w:val="Heading4"/>
      </w:pPr>
      <w:r>
        <w:t>4.2.1 智能问答引擎</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功能项</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精准政策问答（RAG）</w:t>
            </w:r>
          </w:p>
        </w:tc>
        <w:tc>
          <w:tcPr>
            <w:tcW w:type="dxa" w:w="4533"/>
          </w:tcPr>
          <w:p>
            <w:r/>
            <w:r>
              <w:rPr>
                <w:rFonts w:ascii="微软雅黑" w:hAnsi="微软雅黑" w:eastAsia="微软雅黑"/>
                <w:sz w:val="20"/>
              </w:rPr>
              <w:t>基于知识库政策文件，通过混合检索（向量+关键词+重排序）生成精准回答</w:t>
            </w:r>
          </w:p>
        </w:tc>
      </w:tr>
      <w:tr>
        <w:tc>
          <w:tcPr>
            <w:tcW w:type="dxa" w:w="4533"/>
          </w:tcPr>
          <w:p>
            <w:r/>
            <w:r>
              <w:rPr>
                <w:rFonts w:ascii="微软雅黑" w:hAnsi="微软雅黑" w:eastAsia="微软雅黑"/>
                <w:sz w:val="20"/>
              </w:rPr>
              <w:t>强制引用溯源</w:t>
            </w:r>
          </w:p>
        </w:tc>
        <w:tc>
          <w:tcPr>
            <w:tcW w:type="dxa" w:w="4533"/>
          </w:tcPr>
          <w:p>
            <w:r/>
            <w:r>
              <w:rPr>
                <w:rFonts w:ascii="微软雅黑" w:hAnsi="微软雅黑" w:eastAsia="微软雅黑"/>
                <w:sz w:val="20"/>
              </w:rPr>
              <w:t>每条政策回答必须标注文件名称、章节条款，引用可点击跳转原文</w:t>
            </w:r>
          </w:p>
        </w:tc>
      </w:tr>
      <w:tr>
        <w:tc>
          <w:tcPr>
            <w:tcW w:type="dxa" w:w="4533"/>
          </w:tcPr>
          <w:p>
            <w:r/>
            <w:r>
              <w:rPr>
                <w:rFonts w:ascii="微软雅黑" w:hAnsi="微软雅黑" w:eastAsia="微软雅黑"/>
                <w:sz w:val="20"/>
              </w:rPr>
              <w:t>多轮对话管理</w:t>
            </w:r>
          </w:p>
        </w:tc>
        <w:tc>
          <w:tcPr>
            <w:tcW w:type="dxa" w:w="4533"/>
          </w:tcPr>
          <w:p>
            <w:r/>
            <w:r>
              <w:rPr>
                <w:rFonts w:ascii="微软雅黑" w:hAnsi="微软雅黑" w:eastAsia="微软雅黑"/>
                <w:sz w:val="20"/>
              </w:rPr>
              <w:t>保持对话连续性，支持连续追问，最大30轮/次，上下文Token≤8000</w:t>
            </w:r>
          </w:p>
        </w:tc>
      </w:tr>
      <w:tr>
        <w:tc>
          <w:tcPr>
            <w:tcW w:type="dxa" w:w="4533"/>
          </w:tcPr>
          <w:p>
            <w:r/>
            <w:r>
              <w:rPr>
                <w:rFonts w:ascii="微软雅黑" w:hAnsi="微软雅黑" w:eastAsia="微软雅黑"/>
                <w:sz w:val="20"/>
              </w:rPr>
              <w:t>话题边界感知</w:t>
            </w:r>
          </w:p>
        </w:tc>
        <w:tc>
          <w:tcPr>
            <w:tcW w:type="dxa" w:w="4533"/>
          </w:tcPr>
          <w:p>
            <w:r/>
            <w:r>
              <w:rPr>
                <w:rFonts w:ascii="微软雅黑" w:hAnsi="微软雅黑" w:eastAsia="微软雅黑"/>
                <w:sz w:val="20"/>
              </w:rPr>
              <w:t>检测话题跳跃，温和确认用户意图</w:t>
            </w:r>
          </w:p>
        </w:tc>
      </w:tr>
      <w:tr>
        <w:tc>
          <w:tcPr>
            <w:tcW w:type="dxa" w:w="4533"/>
          </w:tcPr>
          <w:p>
            <w:r/>
            <w:r>
              <w:rPr>
                <w:rFonts w:ascii="微软雅黑" w:hAnsi="微软雅黑" w:eastAsia="微软雅黑"/>
                <w:sz w:val="20"/>
              </w:rPr>
              <w:t>语义缓存</w:t>
            </w:r>
          </w:p>
        </w:tc>
        <w:tc>
          <w:tcPr>
            <w:tcW w:type="dxa" w:w="4533"/>
          </w:tcPr>
          <w:p>
            <w:r/>
            <w:r>
              <w:rPr>
                <w:rFonts w:ascii="微软雅黑" w:hAnsi="微软雅黑" w:eastAsia="微软雅黑"/>
                <w:sz w:val="20"/>
              </w:rPr>
              <w:t>高频问题缓存命中率目标≥30%，按角色分组，知识库更新自动失效</w:t>
            </w:r>
          </w:p>
        </w:tc>
      </w:tr>
      <w:tr>
        <w:tc>
          <w:tcPr>
            <w:tcW w:type="dxa" w:w="4533"/>
          </w:tcPr>
          <w:p>
            <w:r/>
            <w:r>
              <w:rPr>
                <w:rFonts w:ascii="微软雅黑" w:hAnsi="微软雅黑" w:eastAsia="微软雅黑"/>
                <w:sz w:val="20"/>
              </w:rPr>
              <w:t>流式输出</w:t>
            </w:r>
          </w:p>
        </w:tc>
        <w:tc>
          <w:tcPr>
            <w:tcW w:type="dxa" w:w="4533"/>
          </w:tcPr>
          <w:p>
            <w:r/>
            <w:r>
              <w:rPr>
                <w:rFonts w:ascii="微软雅黑" w:hAnsi="微软雅黑" w:eastAsia="微软雅黑"/>
                <w:sz w:val="20"/>
              </w:rPr>
              <w:t>SSE逐字流式展示回答，提升体验感知速度</w:t>
            </w:r>
          </w:p>
        </w:tc>
      </w:tr>
    </w:tbl>
    <w:p/>
    <w:p>
      <w:pPr>
        <w:pStyle w:val="Heading4"/>
      </w:pPr>
      <w:r>
        <w:t>4.2.2 知识库与文档处理</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功能项</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文档解析管道</w:t>
            </w:r>
          </w:p>
        </w:tc>
        <w:tc>
          <w:tcPr>
            <w:tcW w:type="dxa" w:w="4533"/>
          </w:tcPr>
          <w:p>
            <w:r/>
            <w:r>
              <w:rPr>
                <w:rFonts w:ascii="微软雅黑" w:hAnsi="微软雅黑" w:eastAsia="微软雅黑"/>
                <w:sz w:val="20"/>
              </w:rPr>
              <w:t>支持PDF、Word格式，自动提取文本、表格、流程图（视觉模型识别）</w:t>
            </w:r>
          </w:p>
        </w:tc>
      </w:tr>
      <w:tr>
        <w:tc>
          <w:tcPr>
            <w:tcW w:type="dxa" w:w="4533"/>
          </w:tcPr>
          <w:p>
            <w:r/>
            <w:r>
              <w:rPr>
                <w:rFonts w:ascii="微软雅黑" w:hAnsi="微软雅黑" w:eastAsia="微软雅黑"/>
                <w:sz w:val="20"/>
              </w:rPr>
              <w:t>语义切分</w:t>
            </w:r>
          </w:p>
        </w:tc>
        <w:tc>
          <w:tcPr>
            <w:tcW w:type="dxa" w:w="4533"/>
          </w:tcPr>
          <w:p>
            <w:r/>
            <w:r>
              <w:rPr>
                <w:rFonts w:ascii="微软雅黑" w:hAnsi="微软雅黑" w:eastAsia="微软雅黑"/>
                <w:sz w:val="20"/>
              </w:rPr>
              <w:t>按章-条-款结构切分，500-1000 token/片段，50-100 token重叠</w:t>
            </w:r>
          </w:p>
        </w:tc>
      </w:tr>
      <w:tr>
        <w:tc>
          <w:tcPr>
            <w:tcW w:type="dxa" w:w="4533"/>
          </w:tcPr>
          <w:p>
            <w:r/>
            <w:r>
              <w:rPr>
                <w:rFonts w:ascii="微软雅黑" w:hAnsi="微软雅黑" w:eastAsia="微软雅黑"/>
                <w:sz w:val="20"/>
              </w:rPr>
              <w:t>向量化入库</w:t>
            </w:r>
          </w:p>
        </w:tc>
        <w:tc>
          <w:tcPr>
            <w:tcW w:type="dxa" w:w="4533"/>
          </w:tcPr>
          <w:p>
            <w:r/>
            <w:r>
              <w:rPr>
                <w:rFonts w:ascii="微软雅黑" w:hAnsi="微软雅黑" w:eastAsia="微软雅黑"/>
                <w:sz w:val="20"/>
              </w:rPr>
              <w:t>片段向量化后存入PostgreSQL + pgvector，支持HNSW索引加速</w:t>
            </w:r>
          </w:p>
        </w:tc>
      </w:tr>
      <w:tr>
        <w:tc>
          <w:tcPr>
            <w:tcW w:type="dxa" w:w="4533"/>
          </w:tcPr>
          <w:p>
            <w:r/>
            <w:r>
              <w:rPr>
                <w:rFonts w:ascii="微软雅黑" w:hAnsi="微软雅黑" w:eastAsia="微软雅黑"/>
                <w:sz w:val="20"/>
              </w:rPr>
              <w:t>混合检索</w:t>
            </w:r>
          </w:p>
        </w:tc>
        <w:tc>
          <w:tcPr>
            <w:tcW w:type="dxa" w:w="4533"/>
          </w:tcPr>
          <w:p>
            <w:r/>
            <w:r>
              <w:rPr>
                <w:rFonts w:ascii="微软雅黑" w:hAnsi="微软雅黑" w:eastAsia="微软雅黑"/>
                <w:sz w:val="20"/>
              </w:rPr>
              <w:t>向量语义检索 + 关键词全文检索 + Rerank重排序，取Top-5</w:t>
            </w:r>
          </w:p>
        </w:tc>
      </w:tr>
      <w:tr>
        <w:tc>
          <w:tcPr>
            <w:tcW w:type="dxa" w:w="4533"/>
          </w:tcPr>
          <w:p>
            <w:r/>
            <w:r>
              <w:rPr>
                <w:rFonts w:ascii="微软雅黑" w:hAnsi="微软雅黑" w:eastAsia="微软雅黑"/>
                <w:sz w:val="20"/>
              </w:rPr>
              <w:t>角色可见性</w:t>
            </w:r>
          </w:p>
        </w:tc>
        <w:tc>
          <w:tcPr>
            <w:tcW w:type="dxa" w:w="4533"/>
          </w:tcPr>
          <w:p>
            <w:r/>
            <w:r>
              <w:rPr>
                <w:rFonts w:ascii="微软雅黑" w:hAnsi="微软雅黑" w:eastAsia="微软雅黑"/>
                <w:sz w:val="20"/>
              </w:rPr>
              <w:t>知识条目按角色标记可见范围，检索时自动过滤</w:t>
            </w:r>
          </w:p>
        </w:tc>
      </w:tr>
      <w:tr>
        <w:tc>
          <w:tcPr>
            <w:tcW w:type="dxa" w:w="4533"/>
          </w:tcPr>
          <w:p>
            <w:r/>
            <w:r>
              <w:rPr>
                <w:rFonts w:ascii="微软雅黑" w:hAnsi="微软雅黑" w:eastAsia="微软雅黑"/>
                <w:sz w:val="20"/>
              </w:rPr>
              <w:t>平台数据同步</w:t>
            </w:r>
          </w:p>
        </w:tc>
        <w:tc>
          <w:tcPr>
            <w:tcW w:type="dxa" w:w="4533"/>
          </w:tcPr>
          <w:p>
            <w:r/>
            <w:r>
              <w:rPr>
                <w:rFonts w:ascii="微软雅黑" w:hAnsi="微软雅黑" w:eastAsia="微软雅黑"/>
                <w:sz w:val="20"/>
              </w:rPr>
              <w:t>对接校共体网站6大内容模块（示范校/新闻/政策/资源/活动/月报），定时增量同步</w:t>
            </w:r>
          </w:p>
        </w:tc>
      </w:tr>
    </w:tbl>
    <w:p/>
    <w:p>
      <w:pPr>
        <w:pStyle w:val="Heading4"/>
      </w:pPr>
      <w:r>
        <w:t>4.2.3 案例脱敏与推荐</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功能项</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自动脱敏管道</w:t>
            </w:r>
          </w:p>
        </w:tc>
        <w:tc>
          <w:tcPr>
            <w:tcW w:type="dxa" w:w="4533"/>
          </w:tcPr>
          <w:p>
            <w:r/>
            <w:r>
              <w:rPr>
                <w:rFonts w:ascii="微软雅黑" w:hAnsi="微软雅黑" w:eastAsia="微软雅黑"/>
                <w:sz w:val="20"/>
              </w:rPr>
              <w:t>NER识别（人名/校名/地名）+ 正则匹配（联系方式/证件号）+ 规则替换</w:t>
            </w:r>
          </w:p>
        </w:tc>
      </w:tr>
      <w:tr>
        <w:tc>
          <w:tcPr>
            <w:tcW w:type="dxa" w:w="4533"/>
          </w:tcPr>
          <w:p>
            <w:r/>
            <w:r>
              <w:rPr>
                <w:rFonts w:ascii="微软雅黑" w:hAnsi="微软雅黑" w:eastAsia="微软雅黑"/>
                <w:sz w:val="20"/>
              </w:rPr>
              <w:t>人工审核</w:t>
            </w:r>
          </w:p>
        </w:tc>
        <w:tc>
          <w:tcPr>
            <w:tcW w:type="dxa" w:w="4533"/>
          </w:tcPr>
          <w:p>
            <w:r/>
            <w:r>
              <w:rPr>
                <w:rFonts w:ascii="微软雅黑" w:hAnsi="微软雅黑" w:eastAsia="微软雅黑"/>
                <w:sz w:val="20"/>
              </w:rPr>
              <w:t>脱敏结果须运营审核后方可入库，支持修改后通过</w:t>
            </w:r>
          </w:p>
        </w:tc>
      </w:tr>
      <w:tr>
        <w:tc>
          <w:tcPr>
            <w:tcW w:type="dxa" w:w="4533"/>
          </w:tcPr>
          <w:p>
            <w:r/>
            <w:r>
              <w:rPr>
                <w:rFonts w:ascii="微软雅黑" w:hAnsi="微软雅黑" w:eastAsia="微软雅黑"/>
                <w:sz w:val="20"/>
              </w:rPr>
              <w:t>检索与展示分离</w:t>
            </w:r>
          </w:p>
        </w:tc>
        <w:tc>
          <w:tcPr>
            <w:tcW w:type="dxa" w:w="4533"/>
          </w:tcPr>
          <w:p>
            <w:r/>
            <w:r>
              <w:rPr>
                <w:rFonts w:ascii="微软雅黑" w:hAnsi="微软雅黑" w:eastAsia="微软雅黑"/>
                <w:sz w:val="20"/>
              </w:rPr>
              <w:t>检索使用原始文本保证召回率，展示时实时替换为脱敏文本</w:t>
            </w:r>
          </w:p>
        </w:tc>
      </w:tr>
      <w:tr>
        <w:tc>
          <w:tcPr>
            <w:tcW w:type="dxa" w:w="4533"/>
          </w:tcPr>
          <w:p>
            <w:r/>
            <w:r>
              <w:rPr>
                <w:rFonts w:ascii="微软雅黑" w:hAnsi="微软雅黑" w:eastAsia="微软雅黑"/>
                <w:sz w:val="20"/>
              </w:rPr>
              <w:t>智能推荐</w:t>
            </w:r>
          </w:p>
        </w:tc>
        <w:tc>
          <w:tcPr>
            <w:tcW w:type="dxa" w:w="4533"/>
          </w:tcPr>
          <w:p>
            <w:r/>
            <w:r>
              <w:rPr>
                <w:rFonts w:ascii="微软雅黑" w:hAnsi="微软雅黑" w:eastAsia="微软雅黑"/>
                <w:sz w:val="20"/>
              </w:rPr>
              <w:t>问答后主动推荐相关成功实践案例（1-3条，卡片形式）</w:t>
            </w:r>
          </w:p>
        </w:tc>
      </w:tr>
    </w:tbl>
    <w:p/>
    <w:p>
      <w:pPr>
        <w:pStyle w:val="Heading4"/>
      </w:pPr>
      <w:r>
        <w:t>4.2.4 安全合规与内容治理</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功能项</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免责声明</w:t>
            </w:r>
          </w:p>
        </w:tc>
        <w:tc>
          <w:tcPr>
            <w:tcW w:type="dxa" w:w="4533"/>
          </w:tcPr>
          <w:p>
            <w:r/>
            <w:r>
              <w:rPr>
                <w:rFonts w:ascii="微软雅黑" w:hAnsi="微软雅黑" w:eastAsia="微软雅黑"/>
                <w:sz w:val="20"/>
              </w:rPr>
              <w:t>每条AI回答末尾自动追加声明文案，运营可配置修改</w:t>
            </w:r>
          </w:p>
        </w:tc>
      </w:tr>
      <w:tr>
        <w:tc>
          <w:tcPr>
            <w:tcW w:type="dxa" w:w="4533"/>
          </w:tcPr>
          <w:p>
            <w:r/>
            <w:r>
              <w:rPr>
                <w:rFonts w:ascii="微软雅黑" w:hAnsi="微软雅黑" w:eastAsia="微软雅黑"/>
                <w:sz w:val="20"/>
              </w:rPr>
              <w:t>双向敏感词过滤</w:t>
            </w:r>
          </w:p>
        </w:tc>
        <w:tc>
          <w:tcPr>
            <w:tcW w:type="dxa" w:w="4533"/>
          </w:tcPr>
          <w:p>
            <w:r/>
            <w:r>
              <w:rPr>
                <w:rFonts w:ascii="微软雅黑" w:hAnsi="微软雅黑" w:eastAsia="微软雅黑"/>
                <w:sz w:val="20"/>
              </w:rPr>
              <w:t>输入侧：拒绝政治敏感/Prompt注入；输出侧：替换为安全回答</w:t>
            </w:r>
          </w:p>
        </w:tc>
      </w:tr>
      <w:tr>
        <w:tc>
          <w:tcPr>
            <w:tcW w:type="dxa" w:w="4533"/>
          </w:tcPr>
          <w:p>
            <w:r/>
            <w:r>
              <w:rPr>
                <w:rFonts w:ascii="微软雅黑" w:hAnsi="微软雅黑" w:eastAsia="微软雅黑"/>
                <w:sz w:val="20"/>
              </w:rPr>
              <w:t>隐私信息检测</w:t>
            </w:r>
          </w:p>
        </w:tc>
        <w:tc>
          <w:tcPr>
            <w:tcW w:type="dxa" w:w="4533"/>
          </w:tcPr>
          <w:p>
            <w:r/>
            <w:r>
              <w:rPr>
                <w:rFonts w:ascii="微软雅黑" w:hAnsi="微软雅黑" w:eastAsia="微软雅黑"/>
                <w:sz w:val="20"/>
              </w:rPr>
              <w:t>前端实时检测身份证号、手机号等，弹出提示建议用户删除</w:t>
            </w:r>
          </w:p>
        </w:tc>
      </w:tr>
      <w:tr>
        <w:tc>
          <w:tcPr>
            <w:tcW w:type="dxa" w:w="4533"/>
          </w:tcPr>
          <w:p>
            <w:r/>
            <w:r>
              <w:rPr>
                <w:rFonts w:ascii="微软雅黑" w:hAnsi="微软雅黑" w:eastAsia="微软雅黑"/>
                <w:sz w:val="20"/>
              </w:rPr>
              <w:t>对话日志脱敏</w:t>
            </w:r>
          </w:p>
        </w:tc>
        <w:tc>
          <w:tcPr>
            <w:tcW w:type="dxa" w:w="4533"/>
          </w:tcPr>
          <w:p>
            <w:r/>
            <w:r>
              <w:rPr>
                <w:rFonts w:ascii="微软雅黑" w:hAnsi="微软雅黑" w:eastAsia="微软雅黑"/>
                <w:sz w:val="20"/>
              </w:rPr>
              <w:t>存储前自动掩码敏感个人信息，运营后台展示脱敏版本</w:t>
            </w:r>
          </w:p>
        </w:tc>
      </w:tr>
      <w:tr>
        <w:tc>
          <w:tcPr>
            <w:tcW w:type="dxa" w:w="4533"/>
          </w:tcPr>
          <w:p>
            <w:r/>
            <w:r>
              <w:rPr>
                <w:rFonts w:ascii="微软雅黑" w:hAnsi="微软雅黑" w:eastAsia="微软雅黑"/>
                <w:sz w:val="20"/>
              </w:rPr>
              <w:t>幻觉检测</w:t>
            </w:r>
          </w:p>
        </w:tc>
        <w:tc>
          <w:tcPr>
            <w:tcW w:type="dxa" w:w="4533"/>
          </w:tcPr>
          <w:p>
            <w:r/>
            <w:r>
              <w:rPr>
                <w:rFonts w:ascii="微软雅黑" w:hAnsi="微软雅黑" w:eastAsia="微软雅黑"/>
                <w:sz w:val="20"/>
              </w:rPr>
              <w:t>Prompt层约束 + 引用校验 + 条款编号正则校验 + 低置信度声明</w:t>
            </w:r>
          </w:p>
        </w:tc>
      </w:tr>
    </w:tbl>
    <w:p/>
    <w:p>
      <w:pPr>
        <w:pStyle w:val="Heading4"/>
      </w:pPr>
      <w:r>
        <w:t>4.2.5 用户反馈与知识进化</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功能项</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满意度评分</w:t>
            </w:r>
          </w:p>
        </w:tc>
        <w:tc>
          <w:tcPr>
            <w:tcW w:type="dxa" w:w="4533"/>
          </w:tcPr>
          <w:p>
            <w:r/>
            <w:r>
              <w:rPr>
                <w:rFonts w:ascii="微软雅黑" w:hAnsi="微软雅黑" w:eastAsia="微软雅黑"/>
                <w:sz w:val="20"/>
              </w:rPr>
              <w:t>1-5星评分，12px小尺寸不干扰阅读</w:t>
            </w:r>
          </w:p>
        </w:tc>
      </w:tr>
      <w:tr>
        <w:tc>
          <w:tcPr>
            <w:tcW w:type="dxa" w:w="4533"/>
          </w:tcPr>
          <w:p>
            <w:r/>
            <w:r>
              <w:rPr>
                <w:rFonts w:ascii="微软雅黑" w:hAnsi="微软雅黑" w:eastAsia="微软雅黑"/>
                <w:sz w:val="20"/>
              </w:rPr>
              <w:t>不满意处理</w:t>
            </w:r>
          </w:p>
        </w:tc>
        <w:tc>
          <w:tcPr>
            <w:tcW w:type="dxa" w:w="4533"/>
          </w:tcPr>
          <w:p>
            <w:r/>
            <w:r>
              <w:rPr>
                <w:rFonts w:ascii="微软雅黑" w:hAnsi="微软雅黑" w:eastAsia="微软雅黑"/>
                <w:sz w:val="20"/>
              </w:rPr>
              <w:t>运营直接回复，回复后自动标记完成，用户可查看处理结果</w:t>
            </w:r>
          </w:p>
        </w:tc>
      </w:tr>
      <w:tr>
        <w:tc>
          <w:tcPr>
            <w:tcW w:type="dxa" w:w="4533"/>
          </w:tcPr>
          <w:p>
            <w:r/>
            <w:r>
              <w:rPr>
                <w:rFonts w:ascii="微软雅黑" w:hAnsi="微软雅黑" w:eastAsia="微软雅黑"/>
                <w:sz w:val="20"/>
              </w:rPr>
              <w:t>问答入库</w:t>
            </w:r>
          </w:p>
        </w:tc>
        <w:tc>
          <w:tcPr>
            <w:tcW w:type="dxa" w:w="4533"/>
          </w:tcPr>
          <w:p>
            <w:r/>
            <w:r>
              <w:rPr>
                <w:rFonts w:ascii="微软雅黑" w:hAnsi="微软雅黑" w:eastAsia="微软雅黑"/>
                <w:sz w:val="20"/>
              </w:rPr>
              <w:t>反馈经运营回复后可"加入知识库"，向量化后即时生效</w:t>
            </w:r>
          </w:p>
        </w:tc>
      </w:tr>
      <w:tr>
        <w:tc>
          <w:tcPr>
            <w:tcW w:type="dxa" w:w="4533"/>
          </w:tcPr>
          <w:p>
            <w:r/>
            <w:r>
              <w:rPr>
                <w:rFonts w:ascii="微软雅黑" w:hAnsi="微软雅黑" w:eastAsia="微软雅黑"/>
                <w:sz w:val="20"/>
              </w:rPr>
              <w:t>问题自动归集</w:t>
            </w:r>
          </w:p>
        </w:tc>
        <w:tc>
          <w:tcPr>
            <w:tcW w:type="dxa" w:w="4533"/>
          </w:tcPr>
          <w:p>
            <w:r/>
            <w:r>
              <w:rPr>
                <w:rFonts w:ascii="微软雅黑" w:hAnsi="微软雅黑" w:eastAsia="微软雅黑"/>
                <w:sz w:val="20"/>
              </w:rPr>
              <w:t>用户新问题去重后进入待审核队列，运营批量审核</w:t>
            </w:r>
          </w:p>
        </w:tc>
      </w:tr>
    </w:tbl>
    <w:p/>
    <w:p>
      <w:pPr>
        <w:pStyle w:val="Heading4"/>
      </w:pPr>
      <w:r>
        <w:t>4.2.6 运营管理后台</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管理模块</w:t>
            </w:r>
          </w:p>
        </w:tc>
        <w:tc>
          <w:tcPr>
            <w:tcW w:type="dxa" w:w="4533"/>
            <w:shd w:val="clear" w:color="auto" w:fill="D6E4F0"/>
          </w:tcPr>
          <w:p>
            <w:pPr>
              <w:jc w:val="center"/>
            </w:pPr>
            <w:r/>
            <w:r>
              <w:rPr>
                <w:rFonts w:ascii="微软雅黑" w:hAnsi="微软雅黑" w:eastAsia="微软雅黑"/>
                <w:b/>
                <w:sz w:val="20"/>
              </w:rPr>
              <w:t>功能要点</w:t>
            </w:r>
          </w:p>
        </w:tc>
      </w:tr>
      <w:tr>
        <w:tc>
          <w:tcPr>
            <w:tcW w:type="dxa" w:w="4533"/>
          </w:tcPr>
          <w:p>
            <w:r/>
            <w:r>
              <w:rPr>
                <w:rFonts w:ascii="微软雅黑" w:hAnsi="微软雅黑" w:eastAsia="微软雅黑"/>
                <w:sz w:val="20"/>
              </w:rPr>
              <w:t>知识库管理</w:t>
            </w:r>
          </w:p>
        </w:tc>
        <w:tc>
          <w:tcPr>
            <w:tcW w:type="dxa" w:w="4533"/>
          </w:tcPr>
          <w:p>
            <w:r/>
            <w:r>
              <w:rPr>
                <w:rFonts w:ascii="微软雅黑" w:hAnsi="微软雅黑" w:eastAsia="微软雅黑"/>
                <w:sz w:val="20"/>
              </w:rPr>
              <w:t>条目CRUD、可见角色标记、文件上传触发解析、在线文件预览</w:t>
            </w:r>
          </w:p>
        </w:tc>
      </w:tr>
      <w:tr>
        <w:tc>
          <w:tcPr>
            <w:tcW w:type="dxa" w:w="4533"/>
          </w:tcPr>
          <w:p>
            <w:r/>
            <w:r>
              <w:rPr>
                <w:rFonts w:ascii="微软雅黑" w:hAnsi="微软雅黑" w:eastAsia="微软雅黑"/>
                <w:sz w:val="20"/>
              </w:rPr>
              <w:t>脱敏审核</w:t>
            </w:r>
          </w:p>
        </w:tc>
        <w:tc>
          <w:tcPr>
            <w:tcW w:type="dxa" w:w="4533"/>
          </w:tcPr>
          <w:p>
            <w:r/>
            <w:r>
              <w:rPr>
                <w:rFonts w:ascii="微软雅黑" w:hAnsi="微软雅黑" w:eastAsia="微软雅黑"/>
                <w:sz w:val="20"/>
              </w:rPr>
              <w:t>左右对比原文与脱敏文本，高亮标注，通过/修改/拒绝</w:t>
            </w:r>
          </w:p>
        </w:tc>
      </w:tr>
      <w:tr>
        <w:tc>
          <w:tcPr>
            <w:tcW w:type="dxa" w:w="4533"/>
          </w:tcPr>
          <w:p>
            <w:r/>
            <w:r>
              <w:rPr>
                <w:rFonts w:ascii="微软雅黑" w:hAnsi="微软雅黑" w:eastAsia="微软雅黑"/>
                <w:sz w:val="20"/>
              </w:rPr>
              <w:t>反馈管理</w:t>
            </w:r>
          </w:p>
        </w:tc>
        <w:tc>
          <w:tcPr>
            <w:tcW w:type="dxa" w:w="4533"/>
          </w:tcPr>
          <w:p>
            <w:r/>
            <w:r>
              <w:rPr>
                <w:rFonts w:ascii="微软雅黑" w:hAnsi="微软雅黑" w:eastAsia="微软雅黑"/>
                <w:sz w:val="20"/>
              </w:rPr>
              <w:t>待处理→处理中→已完成，回复时必填长文本，处理结果反馈给用户</w:t>
            </w:r>
          </w:p>
        </w:tc>
      </w:tr>
      <w:tr>
        <w:tc>
          <w:tcPr>
            <w:tcW w:type="dxa" w:w="4533"/>
          </w:tcPr>
          <w:p>
            <w:r/>
            <w:r>
              <w:rPr>
                <w:rFonts w:ascii="微软雅黑" w:hAnsi="微软雅黑" w:eastAsia="微软雅黑"/>
                <w:sz w:val="20"/>
              </w:rPr>
              <w:t>对话日志</w:t>
            </w:r>
          </w:p>
        </w:tc>
        <w:tc>
          <w:tcPr>
            <w:tcW w:type="dxa" w:w="4533"/>
          </w:tcPr>
          <w:p>
            <w:r/>
            <w:r>
              <w:rPr>
                <w:rFonts w:ascii="微软雅黑" w:hAnsi="微软雅黑" w:eastAsia="微软雅黑"/>
                <w:sz w:val="20"/>
              </w:rPr>
              <w:t>脱敏版对话记录查看，基础统计（日活/日对话/平均评分/热门问题Top10）</w:t>
            </w:r>
          </w:p>
        </w:tc>
      </w:tr>
      <w:tr>
        <w:tc>
          <w:tcPr>
            <w:tcW w:type="dxa" w:w="4533"/>
          </w:tcPr>
          <w:p>
            <w:r/>
            <w:r>
              <w:rPr>
                <w:rFonts w:ascii="微软雅黑" w:hAnsi="微软雅黑" w:eastAsia="微软雅黑"/>
                <w:sz w:val="20"/>
              </w:rPr>
              <w:t>内容配置</w:t>
            </w:r>
          </w:p>
        </w:tc>
        <w:tc>
          <w:tcPr>
            <w:tcW w:type="dxa" w:w="4533"/>
          </w:tcPr>
          <w:p>
            <w:r/>
            <w:r>
              <w:rPr>
                <w:rFonts w:ascii="微软雅黑" w:hAnsi="微软雅黑" w:eastAsia="微软雅黑"/>
                <w:sz w:val="20"/>
              </w:rPr>
              <w:t>快捷问题菜单、角色推荐内容、免责声明文案、敏感词库</w:t>
            </w:r>
          </w:p>
        </w:tc>
      </w:tr>
      <w:tr>
        <w:tc>
          <w:tcPr>
            <w:tcW w:type="dxa" w:w="4533"/>
          </w:tcPr>
          <w:p>
            <w:r/>
            <w:r>
              <w:rPr>
                <w:rFonts w:ascii="微软雅黑" w:hAnsi="微软雅黑" w:eastAsia="微软雅黑"/>
                <w:sz w:val="20"/>
              </w:rPr>
              <w:t>推荐问题</w:t>
            </w:r>
          </w:p>
        </w:tc>
        <w:tc>
          <w:tcPr>
            <w:tcW w:type="dxa" w:w="4533"/>
          </w:tcPr>
          <w:p>
            <w:r/>
            <w:r>
              <w:rPr>
                <w:rFonts w:ascii="微软雅黑" w:hAnsi="微软雅黑" w:eastAsia="微软雅黑"/>
                <w:sz w:val="20"/>
              </w:rPr>
              <w:t>按角色管理一问一答格式的推荐问题，展示在对话区域</w:t>
            </w:r>
          </w:p>
        </w:tc>
      </w:tr>
      <w:tr>
        <w:tc>
          <w:tcPr>
            <w:tcW w:type="dxa" w:w="4533"/>
          </w:tcPr>
          <w:p>
            <w:r/>
            <w:r>
              <w:rPr>
                <w:rFonts w:ascii="微软雅黑" w:hAnsi="微软雅黑" w:eastAsia="微软雅黑"/>
                <w:sz w:val="20"/>
              </w:rPr>
              <w:t>平台同步</w:t>
            </w:r>
          </w:p>
        </w:tc>
        <w:tc>
          <w:tcPr>
            <w:tcW w:type="dxa" w:w="4533"/>
          </w:tcPr>
          <w:p>
            <w:r/>
            <w:r>
              <w:rPr>
                <w:rFonts w:ascii="微软雅黑" w:hAnsi="微软雅黑" w:eastAsia="微软雅黑"/>
                <w:sz w:val="20"/>
              </w:rPr>
              <w:t>手动/定时同步校共体网站数据，查看同步状态与日志</w:t>
            </w:r>
          </w:p>
        </w:tc>
      </w:tr>
    </w:tbl>
    <w:p/>
    <w:p>
      <w:pPr>
        <w:pStyle w:val="Heading2"/>
      </w:pPr>
      <w:r>
        <w:t>五、技术架构方案</w:t>
      </w:r>
    </w:p>
    <w:p>
      <w:pPr>
        <w:pStyle w:val="Heading3"/>
      </w:pPr>
      <w:r>
        <w:t>5.1 总体技术架构</w:t>
      </w:r>
    </w:p>
    <w:p>
      <w:pPr>
        <w:spacing w:before="80" w:after="80"/>
        <w:ind w:left="567"/>
      </w:pPr>
      <w:r>
        <w:rPr>
          <w:rFonts w:ascii="Consolas" w:hAnsi="Consolas"/>
          <w:color w:val="333333"/>
          <w:sz w:val="18"/>
          <w:shd w:val="clear" w:color="auto" w:fill="F5F5F5"/>
        </w:rPr>
        <w:t>┌─────────────────────────────────────────────────────────────────┐</w:t>
        <w:br/>
        <w:t>│                        用户/运营浏览器                            │</w:t>
        <w:br/>
        <w:t>│                  Vue 3 + Element Plus SPA                       │</w:t>
        <w:br/>
        <w:t>└─────────────────────────────┬───────────────────────────────────┘</w:t>
        <w:br/>
        <w:t xml:space="preserve">                              │ HTTPS</w:t>
        <w:br/>
        <w:t xml:space="preserve">                              ▼</w:t>
        <w:br/>
        <w:t xml:space="preserve">                 ┌──────────────────────────┐</w:t>
        <w:br/>
        <w:t xml:space="preserve">                 │  Spring Cloud Gateway    │</w:t>
        <w:br/>
        <w:t xml:space="preserve">                 │  统一路由 / JWT鉴权 / 限流 │</w:t>
        <w:br/>
        <w:t xml:space="preserve">                 └─────────┬───────┬────────┘</w:t>
        <w:br/>
        <w:t xml:space="preserve">                           │       │</w:t>
        <w:br/>
        <w:t xml:space="preserve">              ┌────────────┘       └────────────┐</w:t>
        <w:br/>
        <w:t xml:space="preserve">              ▼                                  ▼</w:t>
        <w:br/>
        <w:t>┌──────────────────────────┐    ┌──────────────────────────────┐</w:t>
        <w:br/>
        <w:t>│  核心业务服务 (edu-core)  │    │  AI智能服务 (edu-ai)          │</w:t>
        <w:br/>
        <w:t>│                          │    │                              │</w:t>
        <w:br/>
        <w:t>│  · 用户认证 / JWT        │    │  · RAG问答引擎               │</w:t>
        <w:br/>
        <w:t>│  · 对话会话管理           │    │  · 文档解析管道               │</w:t>
        <w:br/>
        <w:t>│  · 反馈处理              │    │  · 向量化 / 检索 / 重排序     │</w:t>
        <w:br/>
        <w:t>│  · 运营配置管理           │    │  · 案例脱敏管道               │</w:t>
        <w:br/>
        <w:t>│  · 推荐问题管理           │    │  · 语义缓存 / 敏感词过滤     │</w:t>
        <w:br/>
        <w:t>│                          │    │  · 平台数据同步               │</w:t>
        <w:br/>
        <w:t>│       ←— OpenFeign —→    │    │  · 对话日志分析               │</w:t>
        <w:br/>
        <w:t>└──────┬──────────┬────────┘    └──────┬──────────┬────────────┘</w:t>
        <w:br/>
        <w:t xml:space="preserve">       │          │                     │          │</w:t>
        <w:br/>
        <w:t xml:space="preserve">       ▼          ▼                     ▼          ▼</w:t>
        <w:br/>
        <w:t xml:space="preserve">  ┌────────┐ ┌────────┐         ┌──────────────────────────┐</w:t>
        <w:br/>
        <w:t xml:space="preserve">  │  PG    │ │ Redis  │         │  大模型API (Qwen3系列)    │</w:t>
        <w:br/>
        <w:t xml:space="preserve">  │+pgvec. │ │   7    │         │  32B / VL / Emb / Rerank │</w:t>
        <w:br/>
        <w:t xml:space="preserve">  └────────┘ └────────┘         └──────────────────────────┘</w:t>
      </w:r>
    </w:p>
    <w:p>
      <w:pPr>
        <w:pStyle w:val="Heading3"/>
      </w:pPr>
      <w:r>
        <w:t>5.2 技术选型</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color="auto" w:fill="D6E4F0"/>
          </w:tcPr>
          <w:p>
            <w:pPr>
              <w:jc w:val="center"/>
            </w:pPr>
            <w:r/>
            <w:r>
              <w:rPr>
                <w:rFonts w:ascii="微软雅黑" w:hAnsi="微软雅黑" w:eastAsia="微软雅黑"/>
                <w:b/>
                <w:sz w:val="20"/>
              </w:rPr>
              <w:t>层次</w:t>
            </w:r>
          </w:p>
        </w:tc>
        <w:tc>
          <w:tcPr>
            <w:tcW w:type="dxa" w:w="3022"/>
            <w:shd w:val="clear" w:color="auto" w:fill="D6E4F0"/>
          </w:tcPr>
          <w:p>
            <w:pPr>
              <w:jc w:val="center"/>
            </w:pPr>
            <w:r/>
            <w:r>
              <w:rPr>
                <w:rFonts w:ascii="微软雅黑" w:hAnsi="微软雅黑" w:eastAsia="微软雅黑"/>
                <w:b/>
                <w:sz w:val="20"/>
              </w:rPr>
              <w:t>技术方案</w:t>
            </w:r>
          </w:p>
        </w:tc>
        <w:tc>
          <w:tcPr>
            <w:tcW w:type="dxa" w:w="3022"/>
            <w:shd w:val="clear" w:color="auto" w:fill="D6E4F0"/>
          </w:tcPr>
          <w:p>
            <w:pPr>
              <w:jc w:val="center"/>
            </w:pPr>
            <w:r/>
            <w:r>
              <w:rPr>
                <w:rFonts w:ascii="微软雅黑" w:hAnsi="微软雅黑" w:eastAsia="微软雅黑"/>
                <w:b/>
                <w:sz w:val="20"/>
              </w:rPr>
              <w:t>说明</w:t>
            </w:r>
          </w:p>
        </w:tc>
      </w:tr>
      <w:tr>
        <w:tc>
          <w:tcPr>
            <w:tcW w:type="dxa" w:w="3022"/>
          </w:tcPr>
          <w:p>
            <w:r/>
            <w:r>
              <w:rPr>
                <w:rFonts w:ascii="微软雅黑" w:hAnsi="微软雅黑" w:eastAsia="微软雅黑"/>
                <w:sz w:val="20"/>
              </w:rPr>
              <w:t>**前端**</w:t>
            </w:r>
          </w:p>
        </w:tc>
        <w:tc>
          <w:tcPr>
            <w:tcW w:type="dxa" w:w="3022"/>
          </w:tcPr>
          <w:p>
            <w:r/>
            <w:r>
              <w:rPr>
                <w:rFonts w:ascii="微软雅黑" w:hAnsi="微软雅黑" w:eastAsia="微软雅黑"/>
                <w:sz w:val="20"/>
              </w:rPr>
              <w:t>Vue 3 + Element Plus + Pinia</w:t>
            </w:r>
          </w:p>
        </w:tc>
        <w:tc>
          <w:tcPr>
            <w:tcW w:type="dxa" w:w="3022"/>
          </w:tcPr>
          <w:p>
            <w:r/>
            <w:r>
              <w:rPr>
                <w:rFonts w:ascii="微软雅黑" w:hAnsi="微软雅黑" w:eastAsia="微软雅黑"/>
                <w:sz w:val="20"/>
              </w:rPr>
              <w:t>嵌入校共体网站，响应式适配桌面/移动端</w:t>
            </w:r>
          </w:p>
        </w:tc>
      </w:tr>
      <w:tr>
        <w:tc>
          <w:tcPr>
            <w:tcW w:type="dxa" w:w="3022"/>
          </w:tcPr>
          <w:p>
            <w:r/>
            <w:r>
              <w:rPr>
                <w:rFonts w:ascii="微软雅黑" w:hAnsi="微软雅黑" w:eastAsia="微软雅黑"/>
                <w:sz w:val="20"/>
              </w:rPr>
              <w:t>**后端框架**</w:t>
            </w:r>
          </w:p>
        </w:tc>
        <w:tc>
          <w:tcPr>
            <w:tcW w:type="dxa" w:w="3022"/>
          </w:tcPr>
          <w:p>
            <w:r/>
            <w:r>
              <w:rPr>
                <w:rFonts w:ascii="微软雅黑" w:hAnsi="微软雅黑" w:eastAsia="微软雅黑"/>
                <w:sz w:val="20"/>
              </w:rPr>
              <w:t>JDK 21 + Spring Boot 3.x + Spring Cloud</w:t>
            </w:r>
          </w:p>
        </w:tc>
        <w:tc>
          <w:tcPr>
            <w:tcW w:type="dxa" w:w="3022"/>
          </w:tcPr>
          <w:p>
            <w:r/>
            <w:r>
              <w:rPr>
                <w:rFonts w:ascii="微软雅黑" w:hAnsi="微软雅黑" w:eastAsia="微软雅黑"/>
                <w:sz w:val="20"/>
              </w:rPr>
              <w:t>微服务架构，按业务拆分为2个服务</w:t>
            </w:r>
          </w:p>
        </w:tc>
      </w:tr>
      <w:tr>
        <w:tc>
          <w:tcPr>
            <w:tcW w:type="dxa" w:w="3022"/>
          </w:tcPr>
          <w:p>
            <w:r/>
            <w:r>
              <w:rPr>
                <w:rFonts w:ascii="微软雅黑" w:hAnsi="微软雅黑" w:eastAsia="微软雅黑"/>
                <w:sz w:val="20"/>
              </w:rPr>
              <w:t>**网关**</w:t>
            </w:r>
          </w:p>
        </w:tc>
        <w:tc>
          <w:tcPr>
            <w:tcW w:type="dxa" w:w="3022"/>
          </w:tcPr>
          <w:p>
            <w:r/>
            <w:r>
              <w:rPr>
                <w:rFonts w:ascii="微软雅黑" w:hAnsi="微软雅黑" w:eastAsia="微软雅黑"/>
                <w:sz w:val="20"/>
              </w:rPr>
              <w:t>Spring Cloud Gateway</w:t>
            </w:r>
          </w:p>
        </w:tc>
        <w:tc>
          <w:tcPr>
            <w:tcW w:type="dxa" w:w="3022"/>
          </w:tcPr>
          <w:p>
            <w:r/>
            <w:r>
              <w:rPr>
                <w:rFonts w:ascii="微软雅黑" w:hAnsi="微软雅黑" w:eastAsia="微软雅黑"/>
                <w:sz w:val="20"/>
              </w:rPr>
              <w:t>统一路由、JWT鉴权、限流</w:t>
            </w:r>
          </w:p>
        </w:tc>
      </w:tr>
      <w:tr>
        <w:tc>
          <w:tcPr>
            <w:tcW w:type="dxa" w:w="3022"/>
          </w:tcPr>
          <w:p>
            <w:r/>
            <w:r>
              <w:rPr>
                <w:rFonts w:ascii="微软雅黑" w:hAnsi="微软雅黑" w:eastAsia="微软雅黑"/>
                <w:sz w:val="20"/>
              </w:rPr>
              <w:t>**服务通信**</w:t>
            </w:r>
          </w:p>
        </w:tc>
        <w:tc>
          <w:tcPr>
            <w:tcW w:type="dxa" w:w="3022"/>
          </w:tcPr>
          <w:p>
            <w:r/>
            <w:r>
              <w:rPr>
                <w:rFonts w:ascii="微软雅黑" w:hAnsi="微软雅黑" w:eastAsia="微软雅黑"/>
                <w:sz w:val="20"/>
              </w:rPr>
              <w:t>Spring Cloud OpenFeign</w:t>
            </w:r>
          </w:p>
        </w:tc>
        <w:tc>
          <w:tcPr>
            <w:tcW w:type="dxa" w:w="3022"/>
          </w:tcPr>
          <w:p>
            <w:r/>
            <w:r>
              <w:rPr>
                <w:rFonts w:ascii="微软雅黑" w:hAnsi="微软雅黑" w:eastAsia="微软雅黑"/>
                <w:sz w:val="20"/>
              </w:rPr>
              <w:t>服务间同步调用</w:t>
            </w:r>
          </w:p>
        </w:tc>
      </w:tr>
      <w:tr>
        <w:tc>
          <w:tcPr>
            <w:tcW w:type="dxa" w:w="3022"/>
          </w:tcPr>
          <w:p>
            <w:r/>
            <w:r>
              <w:rPr>
                <w:rFonts w:ascii="微软雅黑" w:hAnsi="微软雅黑" w:eastAsia="微软雅黑"/>
                <w:sz w:val="20"/>
              </w:rPr>
              <w:t>**数据库**</w:t>
            </w:r>
          </w:p>
        </w:tc>
        <w:tc>
          <w:tcPr>
            <w:tcW w:type="dxa" w:w="3022"/>
          </w:tcPr>
          <w:p>
            <w:r/>
            <w:r>
              <w:rPr>
                <w:rFonts w:ascii="微软雅黑" w:hAnsi="微软雅黑" w:eastAsia="微软雅黑"/>
                <w:sz w:val="20"/>
              </w:rPr>
              <w:t>PostgreSQL 16 + pgvector</w:t>
            </w:r>
          </w:p>
        </w:tc>
        <w:tc>
          <w:tcPr>
            <w:tcW w:type="dxa" w:w="3022"/>
          </w:tcPr>
          <w:p>
            <w:r/>
            <w:r>
              <w:rPr>
                <w:rFonts w:ascii="微软雅黑" w:hAnsi="微软雅黑" w:eastAsia="微软雅黑"/>
                <w:sz w:val="20"/>
              </w:rPr>
              <w:t>业务数据 + 向量数据统一管理</w:t>
            </w:r>
          </w:p>
        </w:tc>
      </w:tr>
      <w:tr>
        <w:tc>
          <w:tcPr>
            <w:tcW w:type="dxa" w:w="3022"/>
          </w:tcPr>
          <w:p>
            <w:r/>
            <w:r>
              <w:rPr>
                <w:rFonts w:ascii="微软雅黑" w:hAnsi="微软雅黑" w:eastAsia="微软雅黑"/>
                <w:sz w:val="20"/>
              </w:rPr>
              <w:t>**缓存**</w:t>
            </w:r>
          </w:p>
        </w:tc>
        <w:tc>
          <w:tcPr>
            <w:tcW w:type="dxa" w:w="3022"/>
          </w:tcPr>
          <w:p>
            <w:r/>
            <w:r>
              <w:rPr>
                <w:rFonts w:ascii="微软雅黑" w:hAnsi="微软雅黑" w:eastAsia="微软雅黑"/>
                <w:sz w:val="20"/>
              </w:rPr>
              <w:t>Redis 7</w:t>
            </w:r>
          </w:p>
        </w:tc>
        <w:tc>
          <w:tcPr>
            <w:tcW w:type="dxa" w:w="3022"/>
          </w:tcPr>
          <w:p>
            <w:r/>
            <w:r>
              <w:rPr>
                <w:rFonts w:ascii="微软雅黑" w:hAnsi="微软雅黑" w:eastAsia="微软雅黑"/>
                <w:sz w:val="20"/>
              </w:rPr>
              <w:t>会话上下文、语义缓存、分布式锁、Token黑名单</w:t>
            </w:r>
          </w:p>
        </w:tc>
      </w:tr>
      <w:tr>
        <w:tc>
          <w:tcPr>
            <w:tcW w:type="dxa" w:w="3022"/>
          </w:tcPr>
          <w:p>
            <w:r/>
            <w:r>
              <w:rPr>
                <w:rFonts w:ascii="微软雅黑" w:hAnsi="微软雅黑" w:eastAsia="微软雅黑"/>
                <w:sz w:val="20"/>
              </w:rPr>
              <w:t>**文档解析**</w:t>
            </w:r>
          </w:p>
        </w:tc>
        <w:tc>
          <w:tcPr>
            <w:tcW w:type="dxa" w:w="3022"/>
          </w:tcPr>
          <w:p>
            <w:r/>
            <w:r>
              <w:rPr>
                <w:rFonts w:ascii="微软雅黑" w:hAnsi="微软雅黑" w:eastAsia="微软雅黑"/>
                <w:sz w:val="20"/>
              </w:rPr>
              <w:t>Apache PDFBox + Apache POI</w:t>
            </w:r>
          </w:p>
        </w:tc>
        <w:tc>
          <w:tcPr>
            <w:tcW w:type="dxa" w:w="3022"/>
          </w:tcPr>
          <w:p>
            <w:r/>
            <w:r>
              <w:rPr>
                <w:rFonts w:ascii="微软雅黑" w:hAnsi="微软雅黑" w:eastAsia="微软雅黑"/>
                <w:sz w:val="20"/>
              </w:rPr>
              <w:t>PDF/Word文本、表格提取</w:t>
            </w:r>
          </w:p>
        </w:tc>
      </w:tr>
      <w:tr>
        <w:tc>
          <w:tcPr>
            <w:tcW w:type="dxa" w:w="3022"/>
          </w:tcPr>
          <w:p>
            <w:r/>
            <w:r>
              <w:rPr>
                <w:rFonts w:ascii="微软雅黑" w:hAnsi="微软雅黑" w:eastAsia="微软雅黑"/>
                <w:sz w:val="20"/>
              </w:rPr>
              <w:t>**认证**</w:t>
            </w:r>
          </w:p>
        </w:tc>
        <w:tc>
          <w:tcPr>
            <w:tcW w:type="dxa" w:w="3022"/>
          </w:tcPr>
          <w:p>
            <w:r/>
            <w:r>
              <w:rPr>
                <w:rFonts w:ascii="微软雅黑" w:hAnsi="微软雅黑" w:eastAsia="微软雅黑"/>
                <w:sz w:val="20"/>
              </w:rPr>
              <w:t>JWT（access_token + refresh_token）</w:t>
            </w:r>
          </w:p>
        </w:tc>
        <w:tc>
          <w:tcPr>
            <w:tcW w:type="dxa" w:w="3022"/>
          </w:tcPr>
          <w:p>
            <w:r/>
            <w:r>
              <w:rPr>
                <w:rFonts w:ascii="微软雅黑" w:hAnsi="微软雅黑" w:eastAsia="微软雅黑"/>
                <w:sz w:val="20"/>
              </w:rPr>
              <w:t>手机号 + 验证码登录</w:t>
            </w:r>
          </w:p>
        </w:tc>
      </w:tr>
      <w:tr>
        <w:tc>
          <w:tcPr>
            <w:tcW w:type="dxa" w:w="3022"/>
          </w:tcPr>
          <w:p>
            <w:r/>
            <w:r>
              <w:rPr>
                <w:rFonts w:ascii="微软雅黑" w:hAnsi="微软雅黑" w:eastAsia="微软雅黑"/>
                <w:sz w:val="20"/>
              </w:rPr>
              <w:t>**数据库迁移**</w:t>
            </w:r>
          </w:p>
        </w:tc>
        <w:tc>
          <w:tcPr>
            <w:tcW w:type="dxa" w:w="3022"/>
          </w:tcPr>
          <w:p>
            <w:r/>
            <w:r>
              <w:rPr>
                <w:rFonts w:ascii="微软雅黑" w:hAnsi="微软雅黑" w:eastAsia="微软雅黑"/>
                <w:sz w:val="20"/>
              </w:rPr>
              <w:t>Flyway</w:t>
            </w:r>
          </w:p>
        </w:tc>
        <w:tc>
          <w:tcPr>
            <w:tcW w:type="dxa" w:w="3022"/>
          </w:tcPr>
          <w:p>
            <w:r/>
            <w:r>
              <w:rPr>
                <w:rFonts w:ascii="微软雅黑" w:hAnsi="微软雅黑" w:eastAsia="微软雅黑"/>
                <w:sz w:val="20"/>
              </w:rPr>
              <w:t>版本化管理数据库Schema变更</w:t>
            </w:r>
          </w:p>
        </w:tc>
      </w:tr>
    </w:tbl>
    <w:p/>
    <w:p>
      <w:pPr>
        <w:pStyle w:val="Heading3"/>
      </w:pPr>
      <w:r>
        <w:t>5.3 AI模型方案</w:t>
      </w:r>
    </w:p>
    <w:p>
      <w:r>
        <w:rPr>
          <w:rFonts w:ascii="微软雅黑" w:hAnsi="微软雅黑" w:eastAsia="微软雅黑"/>
          <w:sz w:val="22"/>
        </w:rPr>
        <w:t>本项目不自建GPU算力，全部通过API调用方式对接大模型服务：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D6E4F0"/>
          </w:tcPr>
          <w:p>
            <w:pPr>
              <w:jc w:val="center"/>
            </w:pPr>
            <w:r/>
            <w:r>
              <w:rPr>
                <w:rFonts w:ascii="微软雅黑" w:hAnsi="微软雅黑" w:eastAsia="微软雅黑"/>
                <w:b/>
                <w:sz w:val="20"/>
              </w:rPr>
              <w:t>模型</w:t>
            </w:r>
          </w:p>
        </w:tc>
        <w:tc>
          <w:tcPr>
            <w:tcW w:type="dxa" w:w="2266"/>
            <w:shd w:val="clear" w:color="auto" w:fill="D6E4F0"/>
          </w:tcPr>
          <w:p>
            <w:pPr>
              <w:jc w:val="center"/>
            </w:pPr>
            <w:r/>
            <w:r>
              <w:rPr>
                <w:rFonts w:ascii="微软雅黑" w:hAnsi="微软雅黑" w:eastAsia="微软雅黑"/>
                <w:b/>
                <w:sz w:val="20"/>
              </w:rPr>
              <w:t>参数量</w:t>
            </w:r>
          </w:p>
        </w:tc>
        <w:tc>
          <w:tcPr>
            <w:tcW w:type="dxa" w:w="2266"/>
            <w:shd w:val="clear" w:color="auto" w:fill="D6E4F0"/>
          </w:tcPr>
          <w:p>
            <w:pPr>
              <w:jc w:val="center"/>
            </w:pPr>
            <w:r/>
            <w:r>
              <w:rPr>
                <w:rFonts w:ascii="微软雅黑" w:hAnsi="微软雅黑" w:eastAsia="微软雅黑"/>
                <w:b/>
                <w:sz w:val="20"/>
              </w:rPr>
              <w:t>用途</w:t>
            </w:r>
          </w:p>
        </w:tc>
        <w:tc>
          <w:tcPr>
            <w:tcW w:type="dxa" w:w="2266"/>
            <w:shd w:val="clear" w:color="auto" w:fill="D6E4F0"/>
          </w:tcPr>
          <w:p>
            <w:pPr>
              <w:jc w:val="center"/>
            </w:pPr>
            <w:r/>
            <w:r>
              <w:rPr>
                <w:rFonts w:ascii="微软雅黑" w:hAnsi="微软雅黑" w:eastAsia="微软雅黑"/>
                <w:b/>
                <w:sz w:val="20"/>
              </w:rPr>
              <w:t>调用场景</w:t>
            </w:r>
          </w:p>
        </w:tc>
      </w:tr>
      <w:tr>
        <w:tc>
          <w:tcPr>
            <w:tcW w:type="dxa" w:w="2266"/>
          </w:tcPr>
          <w:p>
            <w:r/>
            <w:r>
              <w:rPr>
                <w:rFonts w:ascii="微软雅黑" w:hAnsi="微软雅黑" w:eastAsia="微软雅黑"/>
                <w:sz w:val="20"/>
              </w:rPr>
              <w:t>**Qwen3-32B**</w:t>
            </w:r>
          </w:p>
        </w:tc>
        <w:tc>
          <w:tcPr>
            <w:tcW w:type="dxa" w:w="2266"/>
          </w:tcPr>
          <w:p>
            <w:r/>
            <w:r>
              <w:rPr>
                <w:rFonts w:ascii="微软雅黑" w:hAnsi="微软雅黑" w:eastAsia="微软雅黑"/>
                <w:sz w:val="20"/>
              </w:rPr>
              <w:t>320亿</w:t>
            </w:r>
          </w:p>
        </w:tc>
        <w:tc>
          <w:tcPr>
            <w:tcW w:type="dxa" w:w="2266"/>
          </w:tcPr>
          <w:p>
            <w:r/>
            <w:r>
              <w:rPr>
                <w:rFonts w:ascii="微软雅黑" w:hAnsi="微软雅黑" w:eastAsia="微软雅黑"/>
                <w:sz w:val="20"/>
              </w:rPr>
              <w:t>主推理引擎</w:t>
            </w:r>
          </w:p>
        </w:tc>
        <w:tc>
          <w:tcPr>
            <w:tcW w:type="dxa" w:w="2266"/>
          </w:tcPr>
          <w:p>
            <w:r/>
            <w:r>
              <w:rPr>
                <w:rFonts w:ascii="微软雅黑" w:hAnsi="微软雅黑" w:eastAsia="微软雅黑"/>
                <w:sz w:val="20"/>
              </w:rPr>
              <w:t>问答生成、多轮对话、查询改写、NER脱敏、话题检测</w:t>
            </w:r>
          </w:p>
        </w:tc>
      </w:tr>
      <w:tr>
        <w:tc>
          <w:tcPr>
            <w:tcW w:type="dxa" w:w="2266"/>
          </w:tcPr>
          <w:p>
            <w:r/>
            <w:r>
              <w:rPr>
                <w:rFonts w:ascii="微软雅黑" w:hAnsi="微软雅黑" w:eastAsia="微软雅黑"/>
                <w:sz w:val="20"/>
              </w:rPr>
              <w:t>**Qwen3-VL-235B**</w:t>
            </w:r>
          </w:p>
        </w:tc>
        <w:tc>
          <w:tcPr>
            <w:tcW w:type="dxa" w:w="2266"/>
          </w:tcPr>
          <w:p>
            <w:r/>
            <w:r>
              <w:rPr>
                <w:rFonts w:ascii="微软雅黑" w:hAnsi="微软雅黑" w:eastAsia="微软雅黑"/>
                <w:sz w:val="20"/>
              </w:rPr>
              <w:t>2350亿</w:t>
            </w:r>
          </w:p>
        </w:tc>
        <w:tc>
          <w:tcPr>
            <w:tcW w:type="dxa" w:w="2266"/>
          </w:tcPr>
          <w:p>
            <w:r/>
            <w:r>
              <w:rPr>
                <w:rFonts w:ascii="微软雅黑" w:hAnsi="微软雅黑" w:eastAsia="微软雅黑"/>
                <w:sz w:val="20"/>
              </w:rPr>
              <w:t>视觉理解</w:t>
            </w:r>
          </w:p>
        </w:tc>
        <w:tc>
          <w:tcPr>
            <w:tcW w:type="dxa" w:w="2266"/>
          </w:tcPr>
          <w:p>
            <w:r/>
            <w:r>
              <w:rPr>
                <w:rFonts w:ascii="微软雅黑" w:hAnsi="微软雅黑" w:eastAsia="微软雅黑"/>
                <w:sz w:val="20"/>
              </w:rPr>
              <w:t>文档中表格/流程图的图像识别与文字描述</w:t>
            </w:r>
          </w:p>
        </w:tc>
      </w:tr>
      <w:tr>
        <w:tc>
          <w:tcPr>
            <w:tcW w:type="dxa" w:w="2266"/>
          </w:tcPr>
          <w:p>
            <w:r/>
            <w:r>
              <w:rPr>
                <w:rFonts w:ascii="微软雅黑" w:hAnsi="微软雅黑" w:eastAsia="微软雅黑"/>
                <w:sz w:val="20"/>
              </w:rPr>
              <w:t>**Qwen3-Embedding-8B**</w:t>
            </w:r>
          </w:p>
        </w:tc>
        <w:tc>
          <w:tcPr>
            <w:tcW w:type="dxa" w:w="2266"/>
          </w:tcPr>
          <w:p>
            <w:r/>
            <w:r>
              <w:rPr>
                <w:rFonts w:ascii="微软雅黑" w:hAnsi="微软雅黑" w:eastAsia="微软雅黑"/>
                <w:sz w:val="20"/>
              </w:rPr>
              <w:t>80亿</w:t>
            </w:r>
          </w:p>
        </w:tc>
        <w:tc>
          <w:tcPr>
            <w:tcW w:type="dxa" w:w="2266"/>
          </w:tcPr>
          <w:p>
            <w:r/>
            <w:r>
              <w:rPr>
                <w:rFonts w:ascii="微软雅黑" w:hAnsi="微软雅黑" w:eastAsia="微软雅黑"/>
                <w:sz w:val="20"/>
              </w:rPr>
              <w:t>文本向量化</w:t>
            </w:r>
          </w:p>
        </w:tc>
        <w:tc>
          <w:tcPr>
            <w:tcW w:type="dxa" w:w="2266"/>
          </w:tcPr>
          <w:p>
            <w:r/>
            <w:r>
              <w:rPr>
                <w:rFonts w:ascii="微软雅黑" w:hAnsi="微软雅黑" w:eastAsia="微软雅黑"/>
                <w:sz w:val="20"/>
              </w:rPr>
              <w:t>文档片段、用户查询、语义缓存的Embedding生成</w:t>
            </w:r>
          </w:p>
        </w:tc>
      </w:tr>
      <w:tr>
        <w:tc>
          <w:tcPr>
            <w:tcW w:type="dxa" w:w="2266"/>
          </w:tcPr>
          <w:p>
            <w:r/>
            <w:r>
              <w:rPr>
                <w:rFonts w:ascii="微软雅黑" w:hAnsi="微软雅黑" w:eastAsia="微软雅黑"/>
                <w:sz w:val="20"/>
              </w:rPr>
              <w:t>**Qwen3-Rerank-8B**</w:t>
            </w:r>
          </w:p>
        </w:tc>
        <w:tc>
          <w:tcPr>
            <w:tcW w:type="dxa" w:w="2266"/>
          </w:tcPr>
          <w:p>
            <w:r/>
            <w:r>
              <w:rPr>
                <w:rFonts w:ascii="微软雅黑" w:hAnsi="微软雅黑" w:eastAsia="微软雅黑"/>
                <w:sz w:val="20"/>
              </w:rPr>
              <w:t>80亿</w:t>
            </w:r>
          </w:p>
        </w:tc>
        <w:tc>
          <w:tcPr>
            <w:tcW w:type="dxa" w:w="2266"/>
          </w:tcPr>
          <w:p>
            <w:r/>
            <w:r>
              <w:rPr>
                <w:rFonts w:ascii="微软雅黑" w:hAnsi="微软雅黑" w:eastAsia="微软雅黑"/>
                <w:sz w:val="20"/>
              </w:rPr>
              <w:t>检索重排序</w:t>
            </w:r>
          </w:p>
        </w:tc>
        <w:tc>
          <w:tcPr>
            <w:tcW w:type="dxa" w:w="2266"/>
          </w:tcPr>
          <w:p>
            <w:r/>
            <w:r>
              <w:rPr>
                <w:rFonts w:ascii="微软雅黑" w:hAnsi="微软雅黑" w:eastAsia="微软雅黑"/>
                <w:sz w:val="20"/>
              </w:rPr>
              <w:t>混合检索结果精排，提升Top-K相关性</w:t>
            </w:r>
          </w:p>
        </w:tc>
      </w:tr>
    </w:tbl>
    <w:p/>
    <w:p>
      <w:pPr>
        <w:pStyle w:val="Heading3"/>
      </w:pPr>
      <w:r>
        <w:t>5.4 RAG检索引擎流程</w:t>
      </w:r>
    </w:p>
    <w:p>
      <w:pPr>
        <w:spacing w:before="80" w:after="80"/>
        <w:ind w:left="567"/>
      </w:pPr>
      <w:r>
        <w:rPr>
          <w:rFonts w:ascii="Consolas" w:hAnsi="Consolas"/>
          <w:color w:val="333333"/>
          <w:sz w:val="18"/>
          <w:shd w:val="clear" w:color="auto" w:fill="F5F5F5"/>
        </w:rPr>
        <w:t>用户提问</w:t>
        <w:br/>
        <w:t xml:space="preserve">  ↓</w:t>
        <w:br/>
        <w:t>敏感词过滤(输入) → 命中则拒绝</w:t>
        <w:br/>
        <w:t xml:space="preserve">  ↓</w:t>
        <w:br/>
        <w:t>语义缓存查询 → 命中则直接返回(相似度≥0.95, 按角色分组)</w:t>
        <w:br/>
        <w:t xml:space="preserve">  ↓</w:t>
        <w:br/>
        <w:t>查询改写(结合多轮上下文) → 独立完整查询</w:t>
        <w:br/>
        <w:t xml:space="preserve">  ↓</w:t>
        <w:br/>
        <w:t>混合检索: 向量Top-20 + 关键词Top-20 → RRF融合 → 角色可见性过滤 → Rerank取Top-5</w:t>
        <w:br/>
        <w:t xml:space="preserve">  ↓</w:t>
        <w:br/>
        <w:t>置信度评估 → 低于阈值则声明"暂无相关政策依据"</w:t>
        <w:br/>
        <w:t xml:space="preserve">  ↓</w:t>
        <w:br/>
        <w:t>LLM生成(Qwen3-32B, SSE流式) → 注入角色信息 + 强制引用 + 检索片段</w:t>
        <w:br/>
        <w:t xml:space="preserve">  ↓</w:t>
        <w:br/>
        <w:t>后处理: 敏感词过滤(输出) + 引用校验 + 免责声明追加 + 缓存写入</w:t>
        <w:br/>
        <w:t xml:space="preserve">  ↓</w:t>
        <w:br/>
        <w:t>返回用户</w:t>
      </w:r>
    </w:p>
    <w:p>
      <w:pPr>
        <w:pStyle w:val="Heading2"/>
      </w:pPr>
      <w:r>
        <w:t>六、信息安全与合规保障</w:t>
      </w:r>
    </w:p>
    <w:p>
      <w:pPr>
        <w:pStyle w:val="Heading3"/>
      </w:pPr>
      <w:r>
        <w:t>6.1 数据安全</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安全措施</w:t>
            </w:r>
          </w:p>
        </w:tc>
        <w:tc>
          <w:tcPr>
            <w:tcW w:type="dxa" w:w="4533"/>
            <w:shd w:val="clear" w:color="auto" w:fill="D6E4F0"/>
          </w:tcPr>
          <w:p>
            <w:pPr>
              <w:jc w:val="center"/>
            </w:pPr>
            <w:r/>
            <w:r>
              <w:rPr>
                <w:rFonts w:ascii="微软雅黑" w:hAnsi="微软雅黑" w:eastAsia="微软雅黑"/>
                <w:b/>
                <w:sz w:val="20"/>
              </w:rPr>
              <w:t>具体方案</w:t>
            </w:r>
          </w:p>
        </w:tc>
      </w:tr>
      <w:tr>
        <w:tc>
          <w:tcPr>
            <w:tcW w:type="dxa" w:w="4533"/>
          </w:tcPr>
          <w:p>
            <w:r/>
            <w:r>
              <w:rPr>
                <w:rFonts w:ascii="微软雅黑" w:hAnsi="微软雅黑" w:eastAsia="微软雅黑"/>
                <w:sz w:val="20"/>
              </w:rPr>
              <w:t>传输加密</w:t>
            </w:r>
          </w:p>
        </w:tc>
        <w:tc>
          <w:tcPr>
            <w:tcW w:type="dxa" w:w="4533"/>
          </w:tcPr>
          <w:p>
            <w:r/>
            <w:r>
              <w:rPr>
                <w:rFonts w:ascii="微软雅黑" w:hAnsi="微软雅黑" w:eastAsia="微软雅黑"/>
                <w:sz w:val="20"/>
              </w:rPr>
              <w:t>全链路HTTPS + HSTS</w:t>
            </w:r>
          </w:p>
        </w:tc>
      </w:tr>
      <w:tr>
        <w:tc>
          <w:tcPr>
            <w:tcW w:type="dxa" w:w="4533"/>
          </w:tcPr>
          <w:p>
            <w:r/>
            <w:r>
              <w:rPr>
                <w:rFonts w:ascii="微软雅黑" w:hAnsi="微软雅黑" w:eastAsia="微软雅黑"/>
                <w:sz w:val="20"/>
              </w:rPr>
              <w:t>数据存储</w:t>
            </w:r>
          </w:p>
        </w:tc>
        <w:tc>
          <w:tcPr>
            <w:tcW w:type="dxa" w:w="4533"/>
          </w:tcPr>
          <w:p>
            <w:r/>
            <w:r>
              <w:rPr>
                <w:rFonts w:ascii="微软雅黑" w:hAnsi="微软雅黑" w:eastAsia="微软雅黑"/>
                <w:sz w:val="20"/>
              </w:rPr>
              <w:t>私有化部署，敏感信息加密存储</w:t>
            </w:r>
          </w:p>
        </w:tc>
      </w:tr>
      <w:tr>
        <w:tc>
          <w:tcPr>
            <w:tcW w:type="dxa" w:w="4533"/>
          </w:tcPr>
          <w:p>
            <w:r/>
            <w:r>
              <w:rPr>
                <w:rFonts w:ascii="微软雅黑" w:hAnsi="微软雅黑" w:eastAsia="微软雅黑"/>
                <w:sz w:val="20"/>
              </w:rPr>
              <w:t>访问控制</w:t>
            </w:r>
          </w:p>
        </w:tc>
        <w:tc>
          <w:tcPr>
            <w:tcW w:type="dxa" w:w="4533"/>
          </w:tcPr>
          <w:p>
            <w:r/>
            <w:r>
              <w:rPr>
                <w:rFonts w:ascii="微软雅黑" w:hAnsi="微软雅黑" w:eastAsia="微软雅黑"/>
                <w:sz w:val="20"/>
              </w:rPr>
              <w:t>RBAC权限隔离（普通用户/运营人员），方法级鉴权</w:t>
            </w:r>
          </w:p>
        </w:tc>
      </w:tr>
      <w:tr>
        <w:tc>
          <w:tcPr>
            <w:tcW w:type="dxa" w:w="4533"/>
          </w:tcPr>
          <w:p>
            <w:r/>
            <w:r>
              <w:rPr>
                <w:rFonts w:ascii="微软雅黑" w:hAnsi="微软雅黑" w:eastAsia="微软雅黑"/>
                <w:sz w:val="20"/>
              </w:rPr>
              <w:t>日志脱敏</w:t>
            </w:r>
          </w:p>
        </w:tc>
        <w:tc>
          <w:tcPr>
            <w:tcW w:type="dxa" w:w="4533"/>
          </w:tcPr>
          <w:p>
            <w:r/>
            <w:r>
              <w:rPr>
                <w:rFonts w:ascii="微软雅黑" w:hAnsi="微软雅黑" w:eastAsia="微软雅黑"/>
                <w:sz w:val="20"/>
              </w:rPr>
              <w:t>用户消息入库前自动掩码身份证号/手机号/银行卡号</w:t>
            </w:r>
          </w:p>
        </w:tc>
      </w:tr>
      <w:tr>
        <w:tc>
          <w:tcPr>
            <w:tcW w:type="dxa" w:w="4533"/>
          </w:tcPr>
          <w:p>
            <w:r/>
            <w:r>
              <w:rPr>
                <w:rFonts w:ascii="微软雅黑" w:hAnsi="微软雅黑" w:eastAsia="微软雅黑"/>
                <w:sz w:val="20"/>
              </w:rPr>
              <w:t>审计追踪</w:t>
            </w:r>
          </w:p>
        </w:tc>
        <w:tc>
          <w:tcPr>
            <w:tcW w:type="dxa" w:w="4533"/>
          </w:tcPr>
          <w:p>
            <w:r/>
            <w:r>
              <w:rPr>
                <w:rFonts w:ascii="微软雅黑" w:hAnsi="微软雅黑" w:eastAsia="微软雅黑"/>
                <w:sz w:val="20"/>
              </w:rPr>
              <w:t>关键操作记录审计日志（登录/上传/删除/配置变更）</w:t>
            </w:r>
          </w:p>
        </w:tc>
      </w:tr>
    </w:tbl>
    <w:p/>
    <w:p>
      <w:pPr>
        <w:pStyle w:val="Heading3"/>
      </w:pPr>
      <w:r>
        <w:t>6.2 内容合规</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合规措施</w:t>
            </w:r>
          </w:p>
        </w:tc>
        <w:tc>
          <w:tcPr>
            <w:tcW w:type="dxa" w:w="4533"/>
            <w:shd w:val="clear" w:color="auto" w:fill="D6E4F0"/>
          </w:tcPr>
          <w:p>
            <w:pPr>
              <w:jc w:val="center"/>
            </w:pPr>
            <w:r/>
            <w:r>
              <w:rPr>
                <w:rFonts w:ascii="微软雅黑" w:hAnsi="微软雅黑" w:eastAsia="微软雅黑"/>
                <w:b/>
                <w:sz w:val="20"/>
              </w:rPr>
              <w:t>具体方案</w:t>
            </w:r>
          </w:p>
        </w:tc>
      </w:tr>
      <w:tr>
        <w:tc>
          <w:tcPr>
            <w:tcW w:type="dxa" w:w="4533"/>
          </w:tcPr>
          <w:p>
            <w:r/>
            <w:r>
              <w:rPr>
                <w:rFonts w:ascii="微软雅黑" w:hAnsi="微软雅黑" w:eastAsia="微软雅黑"/>
                <w:sz w:val="20"/>
              </w:rPr>
              <w:t>AI免责声明</w:t>
            </w:r>
          </w:p>
        </w:tc>
        <w:tc>
          <w:tcPr>
            <w:tcW w:type="dxa" w:w="4533"/>
          </w:tcPr>
          <w:p>
            <w:r/>
            <w:r>
              <w:rPr>
                <w:rFonts w:ascii="微软雅黑" w:hAnsi="微软雅黑" w:eastAsia="微软雅黑"/>
                <w:sz w:val="20"/>
              </w:rPr>
              <w:t>每条回答自动追加声明，文案运营可配置</w:t>
            </w:r>
          </w:p>
        </w:tc>
      </w:tr>
      <w:tr>
        <w:tc>
          <w:tcPr>
            <w:tcW w:type="dxa" w:w="4533"/>
          </w:tcPr>
          <w:p>
            <w:r/>
            <w:r>
              <w:rPr>
                <w:rFonts w:ascii="微软雅黑" w:hAnsi="微软雅黑" w:eastAsia="微软雅黑"/>
                <w:sz w:val="20"/>
              </w:rPr>
              <w:t>双向敏感词</w:t>
            </w:r>
          </w:p>
        </w:tc>
        <w:tc>
          <w:tcPr>
            <w:tcW w:type="dxa" w:w="4533"/>
          </w:tcPr>
          <w:p>
            <w:r/>
            <w:r>
              <w:rPr>
                <w:rFonts w:ascii="微软雅黑" w:hAnsi="微软雅黑" w:eastAsia="微软雅黑"/>
                <w:sz w:val="20"/>
              </w:rPr>
              <w:t>输入拦截 + 输出过滤，敏感词库运营维护</w:t>
            </w:r>
          </w:p>
        </w:tc>
      </w:tr>
      <w:tr>
        <w:tc>
          <w:tcPr>
            <w:tcW w:type="dxa" w:w="4533"/>
          </w:tcPr>
          <w:p>
            <w:r/>
            <w:r>
              <w:rPr>
                <w:rFonts w:ascii="微软雅黑" w:hAnsi="微软雅黑" w:eastAsia="微软雅黑"/>
                <w:sz w:val="20"/>
              </w:rPr>
              <w:t>幻觉防控</w:t>
            </w:r>
          </w:p>
        </w:tc>
        <w:tc>
          <w:tcPr>
            <w:tcW w:type="dxa" w:w="4533"/>
          </w:tcPr>
          <w:p>
            <w:r/>
            <w:r>
              <w:rPr>
                <w:rFonts w:ascii="微软雅黑" w:hAnsi="微软雅黑" w:eastAsia="微软雅黑"/>
                <w:sz w:val="20"/>
              </w:rPr>
              <w:t>Prompt约束 + 引用后端校验 + 条款正则验证 + 低置信度声明</w:t>
            </w:r>
          </w:p>
        </w:tc>
      </w:tr>
      <w:tr>
        <w:tc>
          <w:tcPr>
            <w:tcW w:type="dxa" w:w="4533"/>
          </w:tcPr>
          <w:p>
            <w:r/>
            <w:r>
              <w:rPr>
                <w:rFonts w:ascii="微软雅黑" w:hAnsi="微软雅黑" w:eastAsia="微软雅黑"/>
                <w:sz w:val="20"/>
              </w:rPr>
              <w:t>案例脱敏</w:t>
            </w:r>
          </w:p>
        </w:tc>
        <w:tc>
          <w:tcPr>
            <w:tcW w:type="dxa" w:w="4533"/>
          </w:tcPr>
          <w:p>
            <w:r/>
            <w:r>
              <w:rPr>
                <w:rFonts w:ascii="微软雅黑" w:hAnsi="微软雅黑" w:eastAsia="微软雅黑"/>
                <w:sz w:val="20"/>
              </w:rPr>
              <w:t>NER + 规则引擎 + 人工审核三层保障</w:t>
            </w:r>
          </w:p>
        </w:tc>
      </w:tr>
      <w:tr>
        <w:tc>
          <w:tcPr>
            <w:tcW w:type="dxa" w:w="4533"/>
          </w:tcPr>
          <w:p>
            <w:r/>
            <w:r>
              <w:rPr>
                <w:rFonts w:ascii="微软雅黑" w:hAnsi="微软雅黑" w:eastAsia="微软雅黑"/>
                <w:sz w:val="20"/>
              </w:rPr>
              <w:t>隐私保护</w:t>
            </w:r>
          </w:p>
        </w:tc>
        <w:tc>
          <w:tcPr>
            <w:tcW w:type="dxa" w:w="4533"/>
          </w:tcPr>
          <w:p>
            <w:r/>
            <w:r>
              <w:rPr>
                <w:rFonts w:ascii="微软雅黑" w:hAnsi="微软雅黑" w:eastAsia="微软雅黑"/>
                <w:sz w:val="20"/>
              </w:rPr>
              <w:t>前端实时隐私检测提醒，用户可选择修改后发送</w:t>
            </w:r>
          </w:p>
        </w:tc>
      </w:tr>
    </w:tbl>
    <w:p/>
    <w:p>
      <w:pPr>
        <w:pStyle w:val="Heading2"/>
      </w:pPr>
      <w:r>
        <w:t>七、实施计划</w:t>
      </w:r>
    </w:p>
    <w:p>
      <w:pPr>
        <w:pStyle w:val="Heading3"/>
      </w:pPr>
      <w:r>
        <w:t>7.1 建设阶段划分</w:t>
      </w:r>
    </w:p>
    <w:p>
      <w:pPr>
        <w:spacing w:before="80" w:after="80"/>
        <w:ind w:left="567"/>
      </w:pPr>
      <w:r>
        <w:rPr>
          <w:rFonts w:ascii="Consolas" w:hAnsi="Consolas"/>
          <w:color w:val="333333"/>
          <w:sz w:val="18"/>
          <w:shd w:val="clear" w:color="auto" w:fill="F5F5F5"/>
        </w:rPr>
        <w:t>┌────────────────────┐</w:t>
        <w:br/>
        <w:t>│ 第一阶段：基础搭建   │  约2周</w:t>
        <w:br/>
        <w:t>│ (Epic 1)           │</w:t>
        <w:br/>
        <w:t>│                    │</w:t>
        <w:br/>
        <w:t>│ · 项目架构初始化     │</w:t>
        <w:br/>
        <w:t>│ · 用户注册/登录      │</w:t>
        <w:br/>
        <w:t>│ · JWT认证与会话管理  │</w:t>
        <w:br/>
        <w:t>│ · 数据库/缓存搭建    │</w:t>
        <w:br/>
        <w:t>└─────────┬──────────┘</w:t>
        <w:br/>
        <w:t xml:space="preserve">          ↓</w:t>
        <w:br/>
        <w:t>┌────────────────────┐</w:t>
        <w:br/>
        <w:t>│ 第二阶段：智能中台   │  约3周</w:t>
        <w:br/>
        <w:t>│ (Epic 2 + 3)       │</w:t>
        <w:br/>
        <w:t>│                    │</w:t>
        <w:br/>
        <w:t>│ · 文档解析管道       │</w:t>
        <w:br/>
        <w:t>│ · 向量化与混合检索   │</w:t>
        <w:br/>
        <w:t>│ · RAG问答引擎       │</w:t>
        <w:br/>
        <w:t>│ · 多轮对话与上下文   │</w:t>
        <w:br/>
        <w:t>│ · 对话界面实现       │</w:t>
        <w:br/>
        <w:t>│ · 平台数据同步       │</w:t>
        <w:br/>
        <w:t>└─────────┬──────────┘</w:t>
        <w:br/>
        <w:t xml:space="preserve">          ↓</w:t>
        <w:br/>
        <w:t>┌────────────────────┐</w:t>
        <w:br/>
        <w:t>│ 第三阶段：业务增强   │  约2周</w:t>
        <w:br/>
        <w:t>│ (Epic 4 + 5)       │</w:t>
        <w:br/>
        <w:t>│                    │</w:t>
        <w:br/>
        <w:t>│ · 角色化服务与推送   │</w:t>
        <w:br/>
        <w:t>│ · 案例脱敏管道       │</w:t>
        <w:br/>
        <w:t>│ · 智能推荐           │</w:t>
        <w:br/>
        <w:t>│ · 用户反馈体系       │</w:t>
        <w:br/>
        <w:t>│ · 知识自进化机制     │</w:t>
        <w:br/>
        <w:t>└─────────┬──────────┘</w:t>
        <w:br/>
        <w:t xml:space="preserve">          ↓</w:t>
        <w:br/>
        <w:t>┌────────────────────┐</w:t>
        <w:br/>
        <w:t>│ 第四阶段：运营赋能   │  约2周</w:t>
        <w:br/>
        <w:t>│ (Epic 6)           │</w:t>
        <w:br/>
        <w:t>│                    │</w:t>
        <w:br/>
        <w:t>│ · 运营后台全功能     │</w:t>
        <w:br/>
        <w:t>│ · 安全合规落地       │</w:t>
        <w:br/>
        <w:t>│ · 系统联调与测试     │</w:t>
        <w:br/>
        <w:t>│ · 知识库初始数据灌入 │</w:t>
        <w:br/>
        <w:t>└─────────┬──────────┘</w:t>
        <w:br/>
        <w:t xml:space="preserve">          ↓</w:t>
        <w:br/>
        <w:t>┌────────────────────┐</w:t>
        <w:br/>
        <w:t>│ 第五阶段：部署上线   │  约1周</w:t>
        <w:br/>
        <w:t>│                    │</w:t>
        <w:br/>
        <w:t>│ · 嵌入校共体网站     │</w:t>
        <w:br/>
        <w:t>│ · 性能调优           │</w:t>
        <w:br/>
        <w:t>│ · 运营培训           │</w:t>
        <w:br/>
        <w:t>│ · 试运行与验收       │</w:t>
        <w:br/>
        <w:t>└────────────────────┘</w:t>
      </w:r>
    </w:p>
    <w:p>
      <w:pPr>
        <w:pStyle w:val="Heading3"/>
      </w:pPr>
      <w:r>
        <w:t>7.2 里程碑计划</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D6E4F0"/>
          </w:tcPr>
          <w:p>
            <w:pPr>
              <w:jc w:val="center"/>
            </w:pPr>
            <w:r/>
            <w:r>
              <w:rPr>
                <w:rFonts w:ascii="微软雅黑" w:hAnsi="微软雅黑" w:eastAsia="微软雅黑"/>
                <w:b/>
                <w:sz w:val="20"/>
              </w:rPr>
              <w:t>阶段</w:t>
            </w:r>
          </w:p>
        </w:tc>
        <w:tc>
          <w:tcPr>
            <w:tcW w:type="dxa" w:w="2266"/>
            <w:shd w:val="clear" w:color="auto" w:fill="D6E4F0"/>
          </w:tcPr>
          <w:p>
            <w:pPr>
              <w:jc w:val="center"/>
            </w:pPr>
            <w:r/>
            <w:r>
              <w:rPr>
                <w:rFonts w:ascii="微软雅黑" w:hAnsi="微软雅黑" w:eastAsia="微软雅黑"/>
                <w:b/>
                <w:sz w:val="20"/>
              </w:rPr>
              <w:t>里程碑</w:t>
            </w:r>
          </w:p>
        </w:tc>
        <w:tc>
          <w:tcPr>
            <w:tcW w:type="dxa" w:w="2266"/>
            <w:shd w:val="clear" w:color="auto" w:fill="D6E4F0"/>
          </w:tcPr>
          <w:p>
            <w:pPr>
              <w:jc w:val="center"/>
            </w:pPr>
            <w:r/>
            <w:r>
              <w:rPr>
                <w:rFonts w:ascii="微软雅黑" w:hAnsi="微软雅黑" w:eastAsia="微软雅黑"/>
                <w:b/>
                <w:sz w:val="20"/>
              </w:rPr>
              <w:t>关键交付物</w:t>
            </w:r>
          </w:p>
        </w:tc>
        <w:tc>
          <w:tcPr>
            <w:tcW w:type="dxa" w:w="2266"/>
            <w:shd w:val="clear" w:color="auto" w:fill="D6E4F0"/>
          </w:tcPr>
          <w:p>
            <w:pPr>
              <w:jc w:val="center"/>
            </w:pPr>
            <w:r/>
            <w:r>
              <w:rPr>
                <w:rFonts w:ascii="微软雅黑" w:hAnsi="微软雅黑" w:eastAsia="微软雅黑"/>
                <w:b/>
                <w:sz w:val="20"/>
              </w:rPr>
              <w:t>预计周期</w:t>
            </w:r>
          </w:p>
        </w:tc>
      </w:tr>
      <w:tr>
        <w:tc>
          <w:tcPr>
            <w:tcW w:type="dxa" w:w="2266"/>
          </w:tcPr>
          <w:p>
            <w:r/>
            <w:r>
              <w:rPr>
                <w:rFonts w:ascii="微软雅黑" w:hAnsi="微软雅黑" w:eastAsia="微软雅黑"/>
                <w:sz w:val="20"/>
              </w:rPr>
              <w:t>第一阶段</w:t>
            </w:r>
          </w:p>
        </w:tc>
        <w:tc>
          <w:tcPr>
            <w:tcW w:type="dxa" w:w="2266"/>
          </w:tcPr>
          <w:p>
            <w:r/>
            <w:r>
              <w:rPr>
                <w:rFonts w:ascii="微软雅黑" w:hAnsi="微软雅黑" w:eastAsia="微软雅黑"/>
                <w:sz w:val="20"/>
              </w:rPr>
              <w:t>基础架构就绪</w:t>
            </w:r>
          </w:p>
        </w:tc>
        <w:tc>
          <w:tcPr>
            <w:tcW w:type="dxa" w:w="2266"/>
          </w:tcPr>
          <w:p>
            <w:r/>
            <w:r>
              <w:rPr>
                <w:rFonts w:ascii="微软雅黑" w:hAnsi="微软雅黑" w:eastAsia="微软雅黑"/>
                <w:sz w:val="20"/>
              </w:rPr>
              <w:t>可运行的前后端骨架、用户系统、健康检查接口</w:t>
            </w:r>
          </w:p>
        </w:tc>
        <w:tc>
          <w:tcPr>
            <w:tcW w:type="dxa" w:w="2266"/>
          </w:tcPr>
          <w:p>
            <w:r/>
            <w:r>
              <w:rPr>
                <w:rFonts w:ascii="微软雅黑" w:hAnsi="微软雅黑" w:eastAsia="微软雅黑"/>
                <w:sz w:val="20"/>
              </w:rPr>
              <w:t>2周</w:t>
            </w:r>
          </w:p>
        </w:tc>
      </w:tr>
      <w:tr>
        <w:tc>
          <w:tcPr>
            <w:tcW w:type="dxa" w:w="2266"/>
          </w:tcPr>
          <w:p>
            <w:r/>
            <w:r>
              <w:rPr>
                <w:rFonts w:ascii="微软雅黑" w:hAnsi="微软雅黑" w:eastAsia="微软雅黑"/>
                <w:sz w:val="20"/>
              </w:rPr>
              <w:t>第二阶段</w:t>
            </w:r>
          </w:p>
        </w:tc>
        <w:tc>
          <w:tcPr>
            <w:tcW w:type="dxa" w:w="2266"/>
          </w:tcPr>
          <w:p>
            <w:r/>
            <w:r>
              <w:rPr>
                <w:rFonts w:ascii="微软雅黑" w:hAnsi="微软雅黑" w:eastAsia="微软雅黑"/>
                <w:sz w:val="20"/>
              </w:rPr>
              <w:t>核心问答可用</w:t>
            </w:r>
          </w:p>
        </w:tc>
        <w:tc>
          <w:tcPr>
            <w:tcW w:type="dxa" w:w="2266"/>
          </w:tcPr>
          <w:p>
            <w:r/>
            <w:r>
              <w:rPr>
                <w:rFonts w:ascii="微软雅黑" w:hAnsi="微软雅黑" w:eastAsia="微软雅黑"/>
                <w:sz w:val="20"/>
              </w:rPr>
              <w:t>可进行政策问答的完整链路（上传→解析→检索→问答→引用）</w:t>
            </w:r>
          </w:p>
        </w:tc>
        <w:tc>
          <w:tcPr>
            <w:tcW w:type="dxa" w:w="2266"/>
          </w:tcPr>
          <w:p>
            <w:r/>
            <w:r>
              <w:rPr>
                <w:rFonts w:ascii="微软雅黑" w:hAnsi="微软雅黑" w:eastAsia="微软雅黑"/>
                <w:sz w:val="20"/>
              </w:rPr>
              <w:t>3周</w:t>
            </w:r>
          </w:p>
        </w:tc>
      </w:tr>
      <w:tr>
        <w:tc>
          <w:tcPr>
            <w:tcW w:type="dxa" w:w="2266"/>
          </w:tcPr>
          <w:p>
            <w:r/>
            <w:r>
              <w:rPr>
                <w:rFonts w:ascii="微软雅黑" w:hAnsi="微软雅黑" w:eastAsia="微软雅黑"/>
                <w:sz w:val="20"/>
              </w:rPr>
              <w:t>第三阶段</w:t>
            </w:r>
          </w:p>
        </w:tc>
        <w:tc>
          <w:tcPr>
            <w:tcW w:type="dxa" w:w="2266"/>
          </w:tcPr>
          <w:p>
            <w:r/>
            <w:r>
              <w:rPr>
                <w:rFonts w:ascii="微软雅黑" w:hAnsi="微软雅黑" w:eastAsia="微软雅黑"/>
                <w:sz w:val="20"/>
              </w:rPr>
              <w:t>业务功能完整</w:t>
            </w:r>
          </w:p>
        </w:tc>
        <w:tc>
          <w:tcPr>
            <w:tcW w:type="dxa" w:w="2266"/>
          </w:tcPr>
          <w:p>
            <w:r/>
            <w:r>
              <w:rPr>
                <w:rFonts w:ascii="微软雅黑" w:hAnsi="微软雅黑" w:eastAsia="微软雅黑"/>
                <w:sz w:val="20"/>
              </w:rPr>
              <w:t>角色化服务、案例推荐、反馈闭环</w:t>
            </w:r>
          </w:p>
        </w:tc>
        <w:tc>
          <w:tcPr>
            <w:tcW w:type="dxa" w:w="2266"/>
          </w:tcPr>
          <w:p>
            <w:r/>
            <w:r>
              <w:rPr>
                <w:rFonts w:ascii="微软雅黑" w:hAnsi="微软雅黑" w:eastAsia="微软雅黑"/>
                <w:sz w:val="20"/>
              </w:rPr>
              <w:t>2周</w:t>
            </w:r>
          </w:p>
        </w:tc>
      </w:tr>
      <w:tr>
        <w:tc>
          <w:tcPr>
            <w:tcW w:type="dxa" w:w="2266"/>
          </w:tcPr>
          <w:p>
            <w:r/>
            <w:r>
              <w:rPr>
                <w:rFonts w:ascii="微软雅黑" w:hAnsi="微软雅黑" w:eastAsia="微软雅黑"/>
                <w:sz w:val="20"/>
              </w:rPr>
              <w:t>第四阶段</w:t>
            </w:r>
          </w:p>
        </w:tc>
        <w:tc>
          <w:tcPr>
            <w:tcW w:type="dxa" w:w="2266"/>
          </w:tcPr>
          <w:p>
            <w:r/>
            <w:r>
              <w:rPr>
                <w:rFonts w:ascii="微软雅黑" w:hAnsi="微软雅黑" w:eastAsia="微软雅黑"/>
                <w:sz w:val="20"/>
              </w:rPr>
              <w:t>运营后台就绪</w:t>
            </w:r>
          </w:p>
        </w:tc>
        <w:tc>
          <w:tcPr>
            <w:tcW w:type="dxa" w:w="2266"/>
          </w:tcPr>
          <w:p>
            <w:r/>
            <w:r>
              <w:rPr>
                <w:rFonts w:ascii="微软雅黑" w:hAnsi="微软雅黑" w:eastAsia="微软雅黑"/>
                <w:sz w:val="20"/>
              </w:rPr>
              <w:t>全功能运营后台、安全合规、知识库就绪</w:t>
            </w:r>
          </w:p>
        </w:tc>
        <w:tc>
          <w:tcPr>
            <w:tcW w:type="dxa" w:w="2266"/>
          </w:tcPr>
          <w:p>
            <w:r/>
            <w:r>
              <w:rPr>
                <w:rFonts w:ascii="微软雅黑" w:hAnsi="微软雅黑" w:eastAsia="微软雅黑"/>
                <w:sz w:val="20"/>
              </w:rPr>
              <w:t>2周</w:t>
            </w:r>
          </w:p>
        </w:tc>
      </w:tr>
      <w:tr>
        <w:tc>
          <w:tcPr>
            <w:tcW w:type="dxa" w:w="2266"/>
          </w:tcPr>
          <w:p>
            <w:r/>
            <w:r>
              <w:rPr>
                <w:rFonts w:ascii="微软雅黑" w:hAnsi="微软雅黑" w:eastAsia="微软雅黑"/>
                <w:sz w:val="20"/>
              </w:rPr>
              <w:t>第五阶段</w:t>
            </w:r>
          </w:p>
        </w:tc>
        <w:tc>
          <w:tcPr>
            <w:tcW w:type="dxa" w:w="2266"/>
          </w:tcPr>
          <w:p>
            <w:r/>
            <w:r>
              <w:rPr>
                <w:rFonts w:ascii="微软雅黑" w:hAnsi="微软雅黑" w:eastAsia="微软雅黑"/>
                <w:sz w:val="20"/>
              </w:rPr>
              <w:t>正式上线</w:t>
            </w:r>
          </w:p>
        </w:tc>
        <w:tc>
          <w:tcPr>
            <w:tcW w:type="dxa" w:w="2266"/>
          </w:tcPr>
          <w:p>
            <w:r/>
            <w:r>
              <w:rPr>
                <w:rFonts w:ascii="微软雅黑" w:hAnsi="微软雅黑" w:eastAsia="微软雅黑"/>
                <w:sz w:val="20"/>
              </w:rPr>
              <w:t>嵌入校共体网站、通过验收</w:t>
            </w:r>
          </w:p>
        </w:tc>
        <w:tc>
          <w:tcPr>
            <w:tcW w:type="dxa" w:w="2266"/>
          </w:tcPr>
          <w:p>
            <w:r/>
            <w:r>
              <w:rPr>
                <w:rFonts w:ascii="微软雅黑" w:hAnsi="微软雅黑" w:eastAsia="微软雅黑"/>
                <w:sz w:val="20"/>
              </w:rPr>
              <w:t>1周</w:t>
            </w:r>
          </w:p>
        </w:tc>
      </w:tr>
      <w:tr>
        <w:tc>
          <w:tcPr>
            <w:tcW w:type="dxa" w:w="2266"/>
          </w:tcPr>
          <w:p>
            <w:r/>
            <w:r>
              <w:rPr>
                <w:rFonts w:ascii="微软雅黑" w:hAnsi="微软雅黑" w:eastAsia="微软雅黑"/>
                <w:sz w:val="20"/>
              </w:rPr>
              <w:t>**合计**</w:t>
            </w:r>
          </w:p>
        </w:tc>
        <w:tc>
          <w:tcPr>
            <w:tcW w:type="dxa" w:w="2266"/>
          </w:tcPr>
          <w:p>
            <w:r/>
            <w:r>
              <w:rPr>
                <w:rFonts w:ascii="微软雅黑" w:hAnsi="微软雅黑" w:eastAsia="微软雅黑"/>
                <w:sz w:val="20"/>
              </w:rPr>
            </w:r>
          </w:p>
        </w:tc>
        <w:tc>
          <w:tcPr>
            <w:tcW w:type="dxa" w:w="2266"/>
          </w:tcPr>
          <w:p>
            <w:r/>
            <w:r>
              <w:rPr>
                <w:rFonts w:ascii="微软雅黑" w:hAnsi="微软雅黑" w:eastAsia="微软雅黑"/>
                <w:sz w:val="20"/>
              </w:rPr>
            </w:r>
          </w:p>
        </w:tc>
        <w:tc>
          <w:tcPr>
            <w:tcW w:type="dxa" w:w="2266"/>
          </w:tcPr>
          <w:p>
            <w:r/>
            <w:r>
              <w:rPr>
                <w:rFonts w:ascii="微软雅黑" w:hAnsi="微软雅黑" w:eastAsia="微软雅黑"/>
                <w:sz w:val="20"/>
              </w:rPr>
              <w:t>**约10周**</w:t>
            </w:r>
          </w:p>
        </w:tc>
      </w:tr>
    </w:tbl>
    <w:p/>
    <w:p>
      <w:pPr>
        <w:pStyle w:val="Heading2"/>
      </w:pPr>
      <w:r>
        <w:t>八、部署与运维方案</w:t>
      </w:r>
    </w:p>
    <w:p>
      <w:pPr>
        <w:pStyle w:val="Heading3"/>
      </w:pPr>
      <w:r>
        <w:t>8.1 部署架构</w:t>
      </w:r>
    </w:p>
    <w:p>
      <w:pPr>
        <w:spacing w:before="80" w:after="80"/>
        <w:ind w:left="567"/>
      </w:pPr>
      <w:r>
        <w:rPr>
          <w:rFonts w:ascii="Consolas" w:hAnsi="Consolas"/>
          <w:color w:val="333333"/>
          <w:sz w:val="18"/>
          <w:shd w:val="clear" w:color="auto" w:fill="F5F5F5"/>
        </w:rPr>
        <w:t xml:space="preserve">          用户浏览器</w:t>
        <w:br/>
        <w:t xml:space="preserve">              │</w:t>
        <w:br/>
        <w:t xml:space="preserve">              ▼</w:t>
        <w:br/>
        <w:t xml:space="preserve">     ┌──────────────┐</w:t>
        <w:br/>
        <w:t xml:space="preserve">     │   Nginx      │  SSL终止 + 静态文件 + 反向代理</w:t>
        <w:br/>
        <w:t xml:space="preserve">     └──────┬───────┘</w:t>
        <w:br/>
        <w:t xml:space="preserve">            │</w:t>
        <w:br/>
        <w:t xml:space="preserve">            ▼</w:t>
        <w:br/>
        <w:t xml:space="preserve">     ┌──────────────┐</w:t>
        <w:br/>
        <w:t xml:space="preserve">     │   Gateway    │  路由 + 鉴权 + 限流</w:t>
        <w:br/>
        <w:t xml:space="preserve">     │   (:8080)    │</w:t>
        <w:br/>
        <w:t xml:space="preserve">     └───┬──────┬───┘</w:t>
        <w:br/>
        <w:t xml:space="preserve">         │      │</w:t>
        <w:br/>
        <w:t xml:space="preserve">         ▼      ▼</w:t>
        <w:br/>
        <w:t xml:space="preserve">   ┌─────────┐ ┌─────────┐</w:t>
        <w:br/>
        <w:t xml:space="preserve">   │edu-core │ │ edu-ai  │</w:t>
        <w:br/>
        <w:t xml:space="preserve">   │ (:8081) │ │ (:8082) │</w:t>
        <w:br/>
        <w:t xml:space="preserve">   └────┬────┘ └────┬────┘</w:t>
        <w:br/>
        <w:t xml:space="preserve">        │           │</w:t>
        <w:br/>
        <w:t xml:space="preserve">   ┌────┴────┐ ┌────┴────┐</w:t>
        <w:br/>
        <w:t xml:space="preserve">   │   PG    │ │  Redis  │</w:t>
        <w:br/>
        <w:t xml:space="preserve">   │ (:5432) │ │ (:6379) │</w:t>
        <w:br/>
        <w:t xml:space="preserve">   └─────────┘ └─────────┘</w:t>
      </w:r>
    </w:p>
    <w:p>
      <w:pPr>
        <w:pStyle w:val="Heading3"/>
      </w:pPr>
      <w:r>
        <w:t>8.2 硬件资源需求</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D6E4F0"/>
          </w:tcPr>
          <w:p>
            <w:pPr>
              <w:jc w:val="center"/>
            </w:pPr>
            <w:r/>
            <w:r>
              <w:rPr>
                <w:rFonts w:ascii="微软雅黑" w:hAnsi="微软雅黑" w:eastAsia="微软雅黑"/>
                <w:b/>
                <w:sz w:val="20"/>
              </w:rPr>
              <w:t>资源</w:t>
            </w:r>
          </w:p>
        </w:tc>
        <w:tc>
          <w:tcPr>
            <w:tcW w:type="dxa" w:w="2266"/>
            <w:shd w:val="clear" w:color="auto" w:fill="D6E4F0"/>
          </w:tcPr>
          <w:p>
            <w:pPr>
              <w:jc w:val="center"/>
            </w:pPr>
            <w:r/>
            <w:r>
              <w:rPr>
                <w:rFonts w:ascii="微软雅黑" w:hAnsi="微软雅黑" w:eastAsia="微软雅黑"/>
                <w:b/>
                <w:sz w:val="20"/>
              </w:rPr>
              <w:t>最低配置</w:t>
            </w:r>
          </w:p>
        </w:tc>
        <w:tc>
          <w:tcPr>
            <w:tcW w:type="dxa" w:w="2266"/>
            <w:shd w:val="clear" w:color="auto" w:fill="D6E4F0"/>
          </w:tcPr>
          <w:p>
            <w:pPr>
              <w:jc w:val="center"/>
            </w:pPr>
            <w:r/>
            <w:r>
              <w:rPr>
                <w:rFonts w:ascii="微软雅黑" w:hAnsi="微软雅黑" w:eastAsia="微软雅黑"/>
                <w:b/>
                <w:sz w:val="20"/>
              </w:rPr>
              <w:t>推荐配置</w:t>
            </w:r>
          </w:p>
        </w:tc>
        <w:tc>
          <w:tcPr>
            <w:tcW w:type="dxa" w:w="2266"/>
            <w:shd w:val="clear" w:color="auto" w:fill="D6E4F0"/>
          </w:tcPr>
          <w:p>
            <w:pPr>
              <w:jc w:val="center"/>
            </w:pPr>
            <w:r/>
            <w:r>
              <w:rPr>
                <w:rFonts w:ascii="微软雅黑" w:hAnsi="微软雅黑" w:eastAsia="微软雅黑"/>
                <w:b/>
                <w:sz w:val="20"/>
              </w:rPr>
              <w:t>说明</w:t>
            </w:r>
          </w:p>
        </w:tc>
      </w:tr>
      <w:tr>
        <w:tc>
          <w:tcPr>
            <w:tcW w:type="dxa" w:w="2266"/>
          </w:tcPr>
          <w:p>
            <w:r/>
            <w:r>
              <w:rPr>
                <w:rFonts w:ascii="微软雅黑" w:hAnsi="微软雅黑" w:eastAsia="微软雅黑"/>
                <w:sz w:val="20"/>
              </w:rPr>
              <w:t>应用服务器</w:t>
            </w:r>
          </w:p>
        </w:tc>
        <w:tc>
          <w:tcPr>
            <w:tcW w:type="dxa" w:w="2266"/>
          </w:tcPr>
          <w:p>
            <w:r/>
            <w:r>
              <w:rPr>
                <w:rFonts w:ascii="微软雅黑" w:hAnsi="微软雅黑" w:eastAsia="微软雅黑"/>
                <w:sz w:val="20"/>
              </w:rPr>
              <w:t>4核 8GB</w:t>
            </w:r>
          </w:p>
        </w:tc>
        <w:tc>
          <w:tcPr>
            <w:tcW w:type="dxa" w:w="2266"/>
          </w:tcPr>
          <w:p>
            <w:r/>
            <w:r>
              <w:rPr>
                <w:rFonts w:ascii="微软雅黑" w:hAnsi="微软雅黑" w:eastAsia="微软雅黑"/>
                <w:sz w:val="20"/>
              </w:rPr>
              <w:t>8核 16GB</w:t>
            </w:r>
          </w:p>
        </w:tc>
        <w:tc>
          <w:tcPr>
            <w:tcW w:type="dxa" w:w="2266"/>
          </w:tcPr>
          <w:p>
            <w:r/>
            <w:r>
              <w:rPr>
                <w:rFonts w:ascii="微软雅黑" w:hAnsi="微软雅黑" w:eastAsia="微软雅黑"/>
                <w:sz w:val="20"/>
              </w:rPr>
              <w:t>运行3个JVM进程（Gateway + edu-core + edu-ai）</w:t>
            </w:r>
          </w:p>
        </w:tc>
      </w:tr>
      <w:tr>
        <w:tc>
          <w:tcPr>
            <w:tcW w:type="dxa" w:w="2266"/>
          </w:tcPr>
          <w:p>
            <w:r/>
            <w:r>
              <w:rPr>
                <w:rFonts w:ascii="微软雅黑" w:hAnsi="微软雅黑" w:eastAsia="微软雅黑"/>
                <w:sz w:val="20"/>
              </w:rPr>
              <w:t>数据库服务器</w:t>
            </w:r>
          </w:p>
        </w:tc>
        <w:tc>
          <w:tcPr>
            <w:tcW w:type="dxa" w:w="2266"/>
          </w:tcPr>
          <w:p>
            <w:r/>
            <w:r>
              <w:rPr>
                <w:rFonts w:ascii="微软雅黑" w:hAnsi="微软雅黑" w:eastAsia="微软雅黑"/>
                <w:sz w:val="20"/>
              </w:rPr>
              <w:t>2核 4GB, 50GB SSD</w:t>
            </w:r>
          </w:p>
        </w:tc>
        <w:tc>
          <w:tcPr>
            <w:tcW w:type="dxa" w:w="2266"/>
          </w:tcPr>
          <w:p>
            <w:r/>
            <w:r>
              <w:rPr>
                <w:rFonts w:ascii="微软雅黑" w:hAnsi="微软雅黑" w:eastAsia="微软雅黑"/>
                <w:sz w:val="20"/>
              </w:rPr>
              <w:t>4核 8GB, 100GB SSD</w:t>
            </w:r>
          </w:p>
        </w:tc>
        <w:tc>
          <w:tcPr>
            <w:tcW w:type="dxa" w:w="2266"/>
          </w:tcPr>
          <w:p>
            <w:r/>
            <w:r>
              <w:rPr>
                <w:rFonts w:ascii="微软雅黑" w:hAnsi="微软雅黑" w:eastAsia="微软雅黑"/>
                <w:sz w:val="20"/>
              </w:rPr>
              <w:t>PostgreSQL + pgvector</w:t>
            </w:r>
          </w:p>
        </w:tc>
      </w:tr>
      <w:tr>
        <w:tc>
          <w:tcPr>
            <w:tcW w:type="dxa" w:w="2266"/>
          </w:tcPr>
          <w:p>
            <w:r/>
            <w:r>
              <w:rPr>
                <w:rFonts w:ascii="微软雅黑" w:hAnsi="微软雅黑" w:eastAsia="微软雅黑"/>
                <w:sz w:val="20"/>
              </w:rPr>
              <w:t>缓存服务器</w:t>
            </w:r>
          </w:p>
        </w:tc>
        <w:tc>
          <w:tcPr>
            <w:tcW w:type="dxa" w:w="2266"/>
          </w:tcPr>
          <w:p>
            <w:r/>
            <w:r>
              <w:rPr>
                <w:rFonts w:ascii="微软雅黑" w:hAnsi="微软雅黑" w:eastAsia="微软雅黑"/>
                <w:sz w:val="20"/>
              </w:rPr>
              <w:t>1核 2GB</w:t>
            </w:r>
          </w:p>
        </w:tc>
        <w:tc>
          <w:tcPr>
            <w:tcW w:type="dxa" w:w="2266"/>
          </w:tcPr>
          <w:p>
            <w:r/>
            <w:r>
              <w:rPr>
                <w:rFonts w:ascii="微软雅黑" w:hAnsi="微软雅黑" w:eastAsia="微软雅黑"/>
                <w:sz w:val="20"/>
              </w:rPr>
              <w:t>2核 4GB</w:t>
            </w:r>
          </w:p>
        </w:tc>
        <w:tc>
          <w:tcPr>
            <w:tcW w:type="dxa" w:w="2266"/>
          </w:tcPr>
          <w:p>
            <w:r/>
            <w:r>
              <w:rPr>
                <w:rFonts w:ascii="微软雅黑" w:hAnsi="微软雅黑" w:eastAsia="微软雅黑"/>
                <w:sz w:val="20"/>
              </w:rPr>
              <w:t>Redis 7</w:t>
            </w:r>
          </w:p>
        </w:tc>
      </w:tr>
      <w:tr>
        <w:tc>
          <w:tcPr>
            <w:tcW w:type="dxa" w:w="2266"/>
          </w:tcPr>
          <w:p>
            <w:r/>
            <w:r>
              <w:rPr>
                <w:rFonts w:ascii="微软雅黑" w:hAnsi="微软雅黑" w:eastAsia="微软雅黑"/>
                <w:sz w:val="20"/>
              </w:rPr>
              <w:t>模型API</w:t>
            </w:r>
          </w:p>
        </w:tc>
        <w:tc>
          <w:tcPr>
            <w:tcW w:type="dxa" w:w="2266"/>
          </w:tcPr>
          <w:p>
            <w:r/>
            <w:r>
              <w:rPr>
                <w:rFonts w:ascii="微软雅黑" w:hAnsi="微软雅黑" w:eastAsia="微软雅黑"/>
                <w:sz w:val="20"/>
              </w:rPr>
              <w:t>外部调用</w:t>
            </w:r>
          </w:p>
        </w:tc>
        <w:tc>
          <w:tcPr>
            <w:tcW w:type="dxa" w:w="2266"/>
          </w:tcPr>
          <w:p>
            <w:r/>
            <w:r>
              <w:rPr>
                <w:rFonts w:ascii="微软雅黑" w:hAnsi="微软雅黑" w:eastAsia="微软雅黑"/>
                <w:sz w:val="20"/>
              </w:rPr>
              <w:t>外部调用</w:t>
            </w:r>
          </w:p>
        </w:tc>
        <w:tc>
          <w:tcPr>
            <w:tcW w:type="dxa" w:w="2266"/>
          </w:tcPr>
          <w:p>
            <w:r/>
            <w:r>
              <w:rPr>
                <w:rFonts w:ascii="微软雅黑" w:hAnsi="微软雅黑" w:eastAsia="微软雅黑"/>
                <w:sz w:val="20"/>
              </w:rPr>
              <w:t>无需GPU，通过API对接Qwen3系列</w:t>
            </w:r>
          </w:p>
        </w:tc>
      </w:tr>
    </w:tbl>
    <w:p/>
    <w:p>
      <w:pPr>
        <w:ind w:left="567"/>
      </w:pPr>
      <w:r>
        <w:rPr>
          <w:rFonts w:ascii="微软雅黑" w:hAnsi="微软雅黑" w:eastAsia="微软雅黑"/>
          <w:i/>
          <w:color w:val="666666"/>
          <w:sz w:val="22"/>
        </w:rPr>
        <w:t>注：以上配置可部署在本地服务器或云主机，支持按需弹性扩展。</w:t>
      </w:r>
    </w:p>
    <w:p>
      <w:pPr>
        <w:pStyle w:val="Heading3"/>
      </w:pPr>
      <w:r>
        <w:t>8.3 运维保障</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运维项</w:t>
            </w:r>
          </w:p>
        </w:tc>
        <w:tc>
          <w:tcPr>
            <w:tcW w:type="dxa" w:w="4533"/>
            <w:shd w:val="clear" w:color="auto" w:fill="D6E4F0"/>
          </w:tcPr>
          <w:p>
            <w:pPr>
              <w:jc w:val="center"/>
            </w:pPr>
            <w:r/>
            <w:r>
              <w:rPr>
                <w:rFonts w:ascii="微软雅黑" w:hAnsi="微软雅黑" w:eastAsia="微软雅黑"/>
                <w:b/>
                <w:sz w:val="20"/>
              </w:rPr>
              <w:t>方案</w:t>
            </w:r>
          </w:p>
        </w:tc>
      </w:tr>
      <w:tr>
        <w:tc>
          <w:tcPr>
            <w:tcW w:type="dxa" w:w="4533"/>
          </w:tcPr>
          <w:p>
            <w:r/>
            <w:r>
              <w:rPr>
                <w:rFonts w:ascii="微软雅黑" w:hAnsi="微软雅黑" w:eastAsia="微软雅黑"/>
                <w:sz w:val="20"/>
              </w:rPr>
              <w:t>健康检查</w:t>
            </w:r>
          </w:p>
        </w:tc>
        <w:tc>
          <w:tcPr>
            <w:tcW w:type="dxa" w:w="4533"/>
          </w:tcPr>
          <w:p>
            <w:r/>
            <w:r>
              <w:rPr>
                <w:rFonts w:ascii="微软雅黑" w:hAnsi="微软雅黑" w:eastAsia="微软雅黑"/>
                <w:sz w:val="20"/>
              </w:rPr>
              <w:t>Spring Boot Actuator `/actuator/health`</w:t>
            </w:r>
          </w:p>
        </w:tc>
      </w:tr>
      <w:tr>
        <w:tc>
          <w:tcPr>
            <w:tcW w:type="dxa" w:w="4533"/>
          </w:tcPr>
          <w:p>
            <w:r/>
            <w:r>
              <w:rPr>
                <w:rFonts w:ascii="微软雅黑" w:hAnsi="微软雅黑" w:eastAsia="微软雅黑"/>
                <w:sz w:val="20"/>
              </w:rPr>
              <w:t>日志管理</w:t>
            </w:r>
          </w:p>
        </w:tc>
        <w:tc>
          <w:tcPr>
            <w:tcW w:type="dxa" w:w="4533"/>
          </w:tcPr>
          <w:p>
            <w:r/>
            <w:r>
              <w:rPr>
                <w:rFonts w:ascii="微软雅黑" w:hAnsi="微软雅黑" w:eastAsia="微软雅黑"/>
                <w:sz w:val="20"/>
              </w:rPr>
              <w:t>结构化JSON日志，按日轮转</w:t>
            </w:r>
          </w:p>
        </w:tc>
      </w:tr>
      <w:tr>
        <w:tc>
          <w:tcPr>
            <w:tcW w:type="dxa" w:w="4533"/>
          </w:tcPr>
          <w:p>
            <w:r/>
            <w:r>
              <w:rPr>
                <w:rFonts w:ascii="微软雅黑" w:hAnsi="微软雅黑" w:eastAsia="微软雅黑"/>
                <w:sz w:val="20"/>
              </w:rPr>
              <w:t>数据备份</w:t>
            </w:r>
          </w:p>
        </w:tc>
        <w:tc>
          <w:tcPr>
            <w:tcW w:type="dxa" w:w="4533"/>
          </w:tcPr>
          <w:p>
            <w:r/>
            <w:r>
              <w:rPr>
                <w:rFonts w:ascii="微软雅黑" w:hAnsi="微软雅黑" w:eastAsia="微软雅黑"/>
                <w:sz w:val="20"/>
              </w:rPr>
              <w:t>PostgreSQL每日全量备份 + WAL归档</w:t>
            </w:r>
          </w:p>
        </w:tc>
      </w:tr>
      <w:tr>
        <w:tc>
          <w:tcPr>
            <w:tcW w:type="dxa" w:w="4533"/>
          </w:tcPr>
          <w:p>
            <w:r/>
            <w:r>
              <w:rPr>
                <w:rFonts w:ascii="微软雅黑" w:hAnsi="微软雅黑" w:eastAsia="微软雅黑"/>
                <w:sz w:val="20"/>
              </w:rPr>
              <w:t>监控告警</w:t>
            </w:r>
          </w:p>
        </w:tc>
        <w:tc>
          <w:tcPr>
            <w:tcW w:type="dxa" w:w="4533"/>
          </w:tcPr>
          <w:p>
            <w:r/>
            <w:r>
              <w:rPr>
                <w:rFonts w:ascii="微软雅黑" w:hAnsi="微软雅黑" w:eastAsia="微软雅黑"/>
                <w:sz w:val="20"/>
              </w:rPr>
              <w:t>服务可用性、API延迟、模型调用量、缓存命中率</w:t>
            </w:r>
          </w:p>
        </w:tc>
      </w:tr>
      <w:tr>
        <w:tc>
          <w:tcPr>
            <w:tcW w:type="dxa" w:w="4533"/>
          </w:tcPr>
          <w:p>
            <w:r/>
            <w:r>
              <w:rPr>
                <w:rFonts w:ascii="微软雅黑" w:hAnsi="微软雅黑" w:eastAsia="微软雅黑"/>
                <w:sz w:val="20"/>
              </w:rPr>
              <w:t>系统可用性</w:t>
            </w:r>
          </w:p>
        </w:tc>
        <w:tc>
          <w:tcPr>
            <w:tcW w:type="dxa" w:w="4533"/>
          </w:tcPr>
          <w:p>
            <w:r/>
            <w:r>
              <w:rPr>
                <w:rFonts w:ascii="微软雅黑" w:hAnsi="微软雅黑" w:eastAsia="微软雅黑"/>
                <w:sz w:val="20"/>
              </w:rPr>
              <w:t>目标≥99.5%</w:t>
            </w:r>
          </w:p>
        </w:tc>
      </w:tr>
    </w:tbl>
    <w:p/>
    <w:p>
      <w:pPr>
        <w:pStyle w:val="Heading2"/>
      </w:pPr>
      <w:r>
        <w:t>九、知识库建设规划</w:t>
      </w:r>
    </w:p>
    <w:p>
      <w:pPr>
        <w:pStyle w:val="Heading3"/>
      </w:pPr>
      <w:r>
        <w:t>9.1 初始知识库内容</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color="auto" w:fill="D6E4F0"/>
          </w:tcPr>
          <w:p>
            <w:pPr>
              <w:jc w:val="center"/>
            </w:pPr>
            <w:r/>
            <w:r>
              <w:rPr>
                <w:rFonts w:ascii="微软雅黑" w:hAnsi="微软雅黑" w:eastAsia="微软雅黑"/>
                <w:b/>
                <w:sz w:val="20"/>
              </w:rPr>
              <w:t>知识类别</w:t>
            </w:r>
          </w:p>
        </w:tc>
        <w:tc>
          <w:tcPr>
            <w:tcW w:type="dxa" w:w="2266"/>
            <w:shd w:val="clear" w:color="auto" w:fill="D6E4F0"/>
          </w:tcPr>
          <w:p>
            <w:pPr>
              <w:jc w:val="center"/>
            </w:pPr>
            <w:r/>
            <w:r>
              <w:rPr>
                <w:rFonts w:ascii="微软雅黑" w:hAnsi="微软雅黑" w:eastAsia="微软雅黑"/>
                <w:b/>
                <w:sz w:val="20"/>
              </w:rPr>
              <w:t>数据来源</w:t>
            </w:r>
          </w:p>
        </w:tc>
        <w:tc>
          <w:tcPr>
            <w:tcW w:type="dxa" w:w="2266"/>
            <w:shd w:val="clear" w:color="auto" w:fill="D6E4F0"/>
          </w:tcPr>
          <w:p>
            <w:pPr>
              <w:jc w:val="center"/>
            </w:pPr>
            <w:r/>
            <w:r>
              <w:rPr>
                <w:rFonts w:ascii="微软雅黑" w:hAnsi="微软雅黑" w:eastAsia="微软雅黑"/>
                <w:b/>
                <w:sz w:val="20"/>
              </w:rPr>
              <w:t>预计规模</w:t>
            </w:r>
          </w:p>
        </w:tc>
        <w:tc>
          <w:tcPr>
            <w:tcW w:type="dxa" w:w="2266"/>
            <w:shd w:val="clear" w:color="auto" w:fill="D6E4F0"/>
          </w:tcPr>
          <w:p>
            <w:pPr>
              <w:jc w:val="center"/>
            </w:pPr>
            <w:r/>
            <w:r>
              <w:rPr>
                <w:rFonts w:ascii="微软雅黑" w:hAnsi="微软雅黑" w:eastAsia="微软雅黑"/>
                <w:b/>
                <w:sz w:val="20"/>
              </w:rPr>
              <w:t>入库方式</w:t>
            </w:r>
          </w:p>
        </w:tc>
      </w:tr>
      <w:tr>
        <w:tc>
          <w:tcPr>
            <w:tcW w:type="dxa" w:w="2266"/>
          </w:tcPr>
          <w:p>
            <w:r/>
            <w:r>
              <w:rPr>
                <w:rFonts w:ascii="微软雅黑" w:hAnsi="微软雅黑" w:eastAsia="微软雅黑"/>
                <w:sz w:val="20"/>
              </w:rPr>
              <w:t>政策文件</w:t>
            </w:r>
          </w:p>
        </w:tc>
        <w:tc>
          <w:tcPr>
            <w:tcW w:type="dxa" w:w="2266"/>
          </w:tcPr>
          <w:p>
            <w:r/>
            <w:r>
              <w:rPr>
                <w:rFonts w:ascii="微软雅黑" w:hAnsi="微软雅黑" w:eastAsia="微软雅黑"/>
                <w:sz w:val="20"/>
              </w:rPr>
              <w:t>省厅/市县下发的通知、指南、实施方案</w:t>
            </w:r>
          </w:p>
        </w:tc>
        <w:tc>
          <w:tcPr>
            <w:tcW w:type="dxa" w:w="2266"/>
          </w:tcPr>
          <w:p>
            <w:r/>
            <w:r>
              <w:rPr>
                <w:rFonts w:ascii="微软雅黑" w:hAnsi="微软雅黑" w:eastAsia="微软雅黑"/>
                <w:sz w:val="20"/>
              </w:rPr>
              <w:t>50-80份</w:t>
            </w:r>
          </w:p>
        </w:tc>
        <w:tc>
          <w:tcPr>
            <w:tcW w:type="dxa" w:w="2266"/>
          </w:tcPr>
          <w:p>
            <w:r/>
            <w:r>
              <w:rPr>
                <w:rFonts w:ascii="微软雅黑" w:hAnsi="微软雅黑" w:eastAsia="微软雅黑"/>
                <w:sz w:val="20"/>
              </w:rPr>
              <w:t>PDF/Word上传 → 自动解析</w:t>
            </w:r>
          </w:p>
        </w:tc>
      </w:tr>
      <w:tr>
        <w:tc>
          <w:tcPr>
            <w:tcW w:type="dxa" w:w="2266"/>
          </w:tcPr>
          <w:p>
            <w:r/>
            <w:r>
              <w:rPr>
                <w:rFonts w:ascii="微软雅黑" w:hAnsi="微软雅黑" w:eastAsia="微软雅黑"/>
                <w:sz w:val="20"/>
              </w:rPr>
              <w:t>实践案例</w:t>
            </w:r>
          </w:p>
        </w:tc>
        <w:tc>
          <w:tcPr>
            <w:tcW w:type="dxa" w:w="2266"/>
          </w:tcPr>
          <w:p>
            <w:r/>
            <w:r>
              <w:rPr>
                <w:rFonts w:ascii="微软雅黑" w:hAnsi="微软雅黑" w:eastAsia="微软雅黑"/>
                <w:sz w:val="20"/>
              </w:rPr>
              <w:t>各地优秀校共体建设案例</w:t>
            </w:r>
          </w:p>
        </w:tc>
        <w:tc>
          <w:tcPr>
            <w:tcW w:type="dxa" w:w="2266"/>
          </w:tcPr>
          <w:p>
            <w:r/>
            <w:r>
              <w:rPr>
                <w:rFonts w:ascii="微软雅黑" w:hAnsi="微软雅黑" w:eastAsia="微软雅黑"/>
                <w:sz w:val="20"/>
              </w:rPr>
              <w:t>30-50篇</w:t>
            </w:r>
          </w:p>
        </w:tc>
        <w:tc>
          <w:tcPr>
            <w:tcW w:type="dxa" w:w="2266"/>
          </w:tcPr>
          <w:p>
            <w:r/>
            <w:r>
              <w:rPr>
                <w:rFonts w:ascii="微软雅黑" w:hAnsi="微软雅黑" w:eastAsia="微软雅黑"/>
                <w:sz w:val="20"/>
              </w:rPr>
              <w:t>上传 → 自动脱敏 → 审核入库</w:t>
            </w:r>
          </w:p>
        </w:tc>
      </w:tr>
      <w:tr>
        <w:tc>
          <w:tcPr>
            <w:tcW w:type="dxa" w:w="2266"/>
          </w:tcPr>
          <w:p>
            <w:r/>
            <w:r>
              <w:rPr>
                <w:rFonts w:ascii="微软雅黑" w:hAnsi="微软雅黑" w:eastAsia="微软雅黑"/>
                <w:sz w:val="20"/>
              </w:rPr>
              <w:t>常见问答</w:t>
            </w:r>
          </w:p>
        </w:tc>
        <w:tc>
          <w:tcPr>
            <w:tcW w:type="dxa" w:w="2266"/>
          </w:tcPr>
          <w:p>
            <w:r/>
            <w:r>
              <w:rPr>
                <w:rFonts w:ascii="微软雅黑" w:hAnsi="微软雅黑" w:eastAsia="微软雅黑"/>
                <w:sz w:val="20"/>
              </w:rPr>
              <w:t>历史咨询高频问题整理</w:t>
            </w:r>
          </w:p>
        </w:tc>
        <w:tc>
          <w:tcPr>
            <w:tcW w:type="dxa" w:w="2266"/>
          </w:tcPr>
          <w:p>
            <w:r/>
            <w:r>
              <w:rPr>
                <w:rFonts w:ascii="微软雅黑" w:hAnsi="微软雅黑" w:eastAsia="微软雅黑"/>
                <w:sz w:val="20"/>
              </w:rPr>
              <w:t>100-150条</w:t>
            </w:r>
          </w:p>
        </w:tc>
        <w:tc>
          <w:tcPr>
            <w:tcW w:type="dxa" w:w="2266"/>
          </w:tcPr>
          <w:p>
            <w:r/>
            <w:r>
              <w:rPr>
                <w:rFonts w:ascii="微软雅黑" w:hAnsi="微软雅黑" w:eastAsia="微软雅黑"/>
                <w:sz w:val="20"/>
              </w:rPr>
              <w:t>运营手动录入</w:t>
            </w:r>
          </w:p>
        </w:tc>
      </w:tr>
      <w:tr>
        <w:tc>
          <w:tcPr>
            <w:tcW w:type="dxa" w:w="2266"/>
          </w:tcPr>
          <w:p>
            <w:r/>
            <w:r>
              <w:rPr>
                <w:rFonts w:ascii="微软雅黑" w:hAnsi="微软雅黑" w:eastAsia="微软雅黑"/>
                <w:sz w:val="20"/>
              </w:rPr>
              <w:t>平台数据</w:t>
            </w:r>
          </w:p>
        </w:tc>
        <w:tc>
          <w:tcPr>
            <w:tcW w:type="dxa" w:w="2266"/>
          </w:tcPr>
          <w:p>
            <w:r/>
            <w:r>
              <w:rPr>
                <w:rFonts w:ascii="微软雅黑" w:hAnsi="微软雅黑" w:eastAsia="微软雅黑"/>
                <w:sz w:val="20"/>
              </w:rPr>
              <w:t>校共体网站6大模块实时数据</w:t>
            </w:r>
          </w:p>
        </w:tc>
        <w:tc>
          <w:tcPr>
            <w:tcW w:type="dxa" w:w="2266"/>
          </w:tcPr>
          <w:p>
            <w:r/>
            <w:r>
              <w:rPr>
                <w:rFonts w:ascii="微软雅黑" w:hAnsi="微软雅黑" w:eastAsia="微软雅黑"/>
                <w:sz w:val="20"/>
              </w:rPr>
              <w:t>持续增长</w:t>
            </w:r>
          </w:p>
        </w:tc>
        <w:tc>
          <w:tcPr>
            <w:tcW w:type="dxa" w:w="2266"/>
          </w:tcPr>
          <w:p>
            <w:r/>
            <w:r>
              <w:rPr>
                <w:rFonts w:ascii="微软雅黑" w:hAnsi="微软雅黑" w:eastAsia="微软雅黑"/>
                <w:sz w:val="20"/>
              </w:rPr>
              <w:t>API定时增量同步</w:t>
            </w:r>
          </w:p>
        </w:tc>
      </w:tr>
      <w:tr>
        <w:tc>
          <w:tcPr>
            <w:tcW w:type="dxa" w:w="2266"/>
          </w:tcPr>
          <w:p>
            <w:r/>
            <w:r>
              <w:rPr>
                <w:rFonts w:ascii="微软雅黑" w:hAnsi="微软雅黑" w:eastAsia="微软雅黑"/>
                <w:sz w:val="20"/>
              </w:rPr>
              <w:t>**合计**</w:t>
            </w:r>
          </w:p>
        </w:tc>
        <w:tc>
          <w:tcPr>
            <w:tcW w:type="dxa" w:w="2266"/>
          </w:tcPr>
          <w:p>
            <w:r/>
            <w:r>
              <w:rPr>
                <w:rFonts w:ascii="微软雅黑" w:hAnsi="微软雅黑" w:eastAsia="微软雅黑"/>
                <w:sz w:val="20"/>
              </w:rPr>
            </w:r>
          </w:p>
        </w:tc>
        <w:tc>
          <w:tcPr>
            <w:tcW w:type="dxa" w:w="2266"/>
          </w:tcPr>
          <w:p>
            <w:r/>
            <w:r>
              <w:rPr>
                <w:rFonts w:ascii="微软雅黑" w:hAnsi="微软雅黑" w:eastAsia="微软雅黑"/>
                <w:sz w:val="20"/>
              </w:rPr>
              <w:t>**200-300条初始数据**</w:t>
            </w:r>
          </w:p>
        </w:tc>
        <w:tc>
          <w:tcPr>
            <w:tcW w:type="dxa" w:w="2266"/>
          </w:tcPr>
          <w:p>
            <w:r/>
            <w:r>
              <w:rPr>
                <w:rFonts w:ascii="微软雅黑" w:hAnsi="微软雅黑" w:eastAsia="微软雅黑"/>
                <w:sz w:val="20"/>
              </w:rPr>
              <w:t>设计可扩展至数千条</w:t>
            </w:r>
          </w:p>
        </w:tc>
      </w:tr>
    </w:tbl>
    <w:p/>
    <w:p>
      <w:pPr>
        <w:pStyle w:val="Heading3"/>
      </w:pPr>
      <w:r>
        <w:t>9.2 知识进化机制</w:t>
      </w:r>
    </w:p>
    <w:p>
      <w:pPr>
        <w:spacing w:before="80" w:after="80"/>
        <w:ind w:left="567"/>
      </w:pPr>
      <w:r>
        <w:rPr>
          <w:rFonts w:ascii="Consolas" w:hAnsi="Consolas"/>
          <w:color w:val="333333"/>
          <w:sz w:val="18"/>
          <w:shd w:val="clear" w:color="auto" w:fill="F5F5F5"/>
        </w:rPr>
        <w:t xml:space="preserve">                    ┌─────────────┐</w:t>
        <w:br/>
        <w:t xml:space="preserve">                    │  用户提问    │</w:t>
        <w:br/>
        <w:t xml:space="preserve">                    └──────┬──────┘</w:t>
        <w:br/>
        <w:t xml:space="preserve">                           │</w:t>
        <w:br/>
        <w:t xml:space="preserve">              ┌────────────┼────────────┐</w:t>
        <w:br/>
        <w:t xml:space="preserve">              ▼            ▼            ▼</w:t>
        <w:br/>
        <w:t xml:space="preserve">        ┌──────────┐ ┌──────────┐ ┌──────────┐</w:t>
        <w:br/>
        <w:t xml:space="preserve">        │ AI回答   │ │ 用户评分  │ │ 新问题   │</w:t>
        <w:br/>
        <w:t xml:space="preserve">        │ (满意)   │ │ (不满意) │ │ 归集     │</w:t>
        <w:br/>
        <w:t xml:space="preserve">        └──────────┘ └────┬─────┘ └────┬─────┘</w:t>
        <w:br/>
        <w:t xml:space="preserve">                          │            │</w:t>
        <w:br/>
        <w:t xml:space="preserve">                          ▼            ▼</w:t>
        <w:br/>
        <w:t xml:space="preserve">                   ┌────────────┐ ┌──────────┐</w:t>
        <w:br/>
        <w:t xml:space="preserve">                   │ 运营处理回复│ │ 去重筛选  │</w:t>
        <w:br/>
        <w:t xml:space="preserve">                   └─────┬──────┘ └────┬─────┘</w:t>
        <w:br/>
        <w:t xml:space="preserve">                         │             │</w:t>
        <w:br/>
        <w:t xml:space="preserve">                         ▼             ▼</w:t>
        <w:br/>
        <w:t xml:space="preserve">                   ┌────────────────────────┐</w:t>
        <w:br/>
        <w:t xml:space="preserve">                   │    运营审核 → 入库      │</w:t>
        <w:br/>
        <w:t xml:space="preserve">                   │  (向量化后即时生效)      │</w:t>
        <w:br/>
        <w:t xml:space="preserve">                   └────────────────────────┘</w:t>
      </w:r>
    </w:p>
    <w:p>
      <w:pPr>
        <w:pStyle w:val="Heading2"/>
      </w:pPr>
      <w:r>
        <w:t>十、预期建设成效</w:t>
      </w:r>
    </w:p>
    <w:p>
      <w:pPr>
        <w:pStyle w:val="Heading3"/>
      </w:pPr>
      <w:r>
        <w:t>10.1 直接效益</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效益维度</w:t>
            </w:r>
          </w:p>
        </w:tc>
        <w:tc>
          <w:tcPr>
            <w:tcW w:type="dxa" w:w="4533"/>
            <w:shd w:val="clear" w:color="auto" w:fill="D6E4F0"/>
          </w:tcPr>
          <w:p>
            <w:pPr>
              <w:jc w:val="center"/>
            </w:pPr>
            <w:r/>
            <w:r>
              <w:rPr>
                <w:rFonts w:ascii="微软雅黑" w:hAnsi="微软雅黑" w:eastAsia="微软雅黑"/>
                <w:b/>
                <w:sz w:val="20"/>
              </w:rPr>
              <w:t>预期成效</w:t>
            </w:r>
          </w:p>
        </w:tc>
      </w:tr>
      <w:tr>
        <w:tc>
          <w:tcPr>
            <w:tcW w:type="dxa" w:w="4533"/>
          </w:tcPr>
          <w:p>
            <w:r/>
            <w:r>
              <w:rPr>
                <w:rFonts w:ascii="微软雅黑" w:hAnsi="微软雅黑" w:eastAsia="微软雅黑"/>
                <w:sz w:val="20"/>
              </w:rPr>
              <w:t>**服务效率提升**</w:t>
            </w:r>
          </w:p>
        </w:tc>
        <w:tc>
          <w:tcPr>
            <w:tcW w:type="dxa" w:w="4533"/>
          </w:tcPr>
          <w:p>
            <w:r/>
            <w:r>
              <w:rPr>
                <w:rFonts w:ascii="微软雅黑" w:hAnsi="微软雅黑" w:eastAsia="微软雅黑"/>
                <w:sz w:val="20"/>
              </w:rPr>
              <w:t>7×24小时在线服务，替代部分重复性政策咨询，预计减少50%以上常规咨询工作量</w:t>
            </w:r>
          </w:p>
        </w:tc>
      </w:tr>
      <w:tr>
        <w:tc>
          <w:tcPr>
            <w:tcW w:type="dxa" w:w="4533"/>
          </w:tcPr>
          <w:p>
            <w:r/>
            <w:r>
              <w:rPr>
                <w:rFonts w:ascii="微软雅黑" w:hAnsi="微软雅黑" w:eastAsia="微软雅黑"/>
                <w:sz w:val="20"/>
              </w:rPr>
              <w:t>**覆盖范围扩大**</w:t>
            </w:r>
          </w:p>
        </w:tc>
        <w:tc>
          <w:tcPr>
            <w:tcW w:type="dxa" w:w="4533"/>
          </w:tcPr>
          <w:p>
            <w:r/>
            <w:r>
              <w:rPr>
                <w:rFonts w:ascii="微软雅黑" w:hAnsi="微软雅黑" w:eastAsia="微软雅黑"/>
                <w:sz w:val="20"/>
              </w:rPr>
              <w:t>突破地域和时间限制，使乡村教师也能随时获得专业指导</w:t>
            </w:r>
          </w:p>
        </w:tc>
      </w:tr>
      <w:tr>
        <w:tc>
          <w:tcPr>
            <w:tcW w:type="dxa" w:w="4533"/>
          </w:tcPr>
          <w:p>
            <w:r/>
            <w:r>
              <w:rPr>
                <w:rFonts w:ascii="微软雅黑" w:hAnsi="微软雅黑" w:eastAsia="微软雅黑"/>
                <w:sz w:val="20"/>
              </w:rPr>
              <w:t>**政策传达加速**</w:t>
            </w:r>
          </w:p>
        </w:tc>
        <w:tc>
          <w:tcPr>
            <w:tcW w:type="dxa" w:w="4533"/>
          </w:tcPr>
          <w:p>
            <w:r/>
            <w:r>
              <w:rPr>
                <w:rFonts w:ascii="微软雅黑" w:hAnsi="微软雅黑" w:eastAsia="微软雅黑"/>
                <w:sz w:val="20"/>
              </w:rPr>
              <w:t>新政策上传后即可被检索和解读，信息传递周期从"周级"缩短为"分钟级"</w:t>
            </w:r>
          </w:p>
        </w:tc>
      </w:tr>
      <w:tr>
        <w:tc>
          <w:tcPr>
            <w:tcW w:type="dxa" w:w="4533"/>
          </w:tcPr>
          <w:p>
            <w:r/>
            <w:r>
              <w:rPr>
                <w:rFonts w:ascii="微软雅黑" w:hAnsi="微软雅黑" w:eastAsia="微软雅黑"/>
                <w:sz w:val="20"/>
              </w:rPr>
              <w:t>**经验复用**</w:t>
            </w:r>
          </w:p>
        </w:tc>
        <w:tc>
          <w:tcPr>
            <w:tcW w:type="dxa" w:w="4533"/>
          </w:tcPr>
          <w:p>
            <w:r/>
            <w:r>
              <w:rPr>
                <w:rFonts w:ascii="微软雅黑" w:hAnsi="微软雅黑" w:eastAsia="微软雅黑"/>
                <w:sz w:val="20"/>
              </w:rPr>
              <w:t>优秀案例自动脱敏后入库，形成可检索的实践知识资产</w:t>
            </w:r>
          </w:p>
        </w:tc>
      </w:tr>
      <w:tr>
        <w:tc>
          <w:tcPr>
            <w:tcW w:type="dxa" w:w="4533"/>
          </w:tcPr>
          <w:p>
            <w:r/>
            <w:r>
              <w:rPr>
                <w:rFonts w:ascii="微软雅黑" w:hAnsi="微软雅黑" w:eastAsia="微软雅黑"/>
                <w:sz w:val="20"/>
              </w:rPr>
              <w:t>**决策支持**</w:t>
            </w:r>
          </w:p>
        </w:tc>
        <w:tc>
          <w:tcPr>
            <w:tcW w:type="dxa" w:w="4533"/>
          </w:tcPr>
          <w:p>
            <w:r/>
            <w:r>
              <w:rPr>
                <w:rFonts w:ascii="微软雅黑" w:hAnsi="微软雅黑" w:eastAsia="微软雅黑"/>
                <w:sz w:val="20"/>
              </w:rPr>
              <w:t>为管理者提供数据驱动的分析视角，辅助区域校共体建设决策</w:t>
            </w:r>
          </w:p>
        </w:tc>
      </w:tr>
    </w:tbl>
    <w:p/>
    <w:p>
      <w:pPr>
        <w:pStyle w:val="Heading3"/>
      </w:pPr>
      <w:r>
        <w:t>10.2 长期价值</w:t>
      </w:r>
    </w:p>
    <w:p>
      <w:pPr>
        <w:pStyle w:val="ListBullet"/>
        <w:ind w:left="567"/>
      </w:pPr>
      <w:r>
        <w:rPr>
          <w:rFonts w:ascii="微软雅黑" w:hAnsi="微软雅黑" w:eastAsia="微软雅黑"/>
          <w:b/>
          <w:sz w:val="22"/>
        </w:rPr>
        <w:t>知识资产沉淀</w:t>
      </w:r>
      <w:r>
        <w:rPr>
          <w:rFonts w:ascii="微软雅黑" w:hAnsi="微软雅黑" w:eastAsia="微软雅黑"/>
          <w:sz w:val="22"/>
        </w:rPr>
        <w:t>：通过持续运营积累形成校共体建设领域的专属知识库</w:t>
      </w:r>
    </w:p>
    <w:p>
      <w:pPr>
        <w:pStyle w:val="ListBullet"/>
        <w:ind w:left="567"/>
      </w:pPr>
      <w:r>
        <w:rPr>
          <w:rFonts w:ascii="微软雅黑" w:hAnsi="微软雅黑" w:eastAsia="微软雅黑"/>
          <w:b/>
          <w:sz w:val="22"/>
        </w:rPr>
        <w:t>服务能力进化</w:t>
      </w:r>
      <w:r>
        <w:rPr>
          <w:rFonts w:ascii="微软雅黑" w:hAnsi="微软雅黑" w:eastAsia="微软雅黑"/>
          <w:sz w:val="22"/>
        </w:rPr>
        <w:t>：用户反馈→知识入库闭环驱动系统能力持续提升</w:t>
      </w:r>
    </w:p>
    <w:p>
      <w:pPr>
        <w:pStyle w:val="ListBullet"/>
        <w:ind w:left="567"/>
      </w:pPr>
      <w:r>
        <w:rPr>
          <w:rFonts w:ascii="微软雅黑" w:hAnsi="微软雅黑" w:eastAsia="微软雅黑"/>
          <w:b/>
          <w:sz w:val="22"/>
        </w:rPr>
        <w:t>标准化推广</w:t>
      </w:r>
      <w:r>
        <w:rPr>
          <w:rFonts w:ascii="微软雅黑" w:hAnsi="微软雅黑" w:eastAsia="微软雅黑"/>
          <w:sz w:val="22"/>
        </w:rPr>
        <w:t>：成功经验可复制推广至其他省市的校共体或类似教育协作项目</w:t>
      </w:r>
    </w:p>
    <w:p>
      <w:pPr>
        <w:pStyle w:val="ListBullet"/>
        <w:ind w:left="567"/>
      </w:pPr>
      <w:r>
        <w:rPr>
          <w:rFonts w:ascii="微软雅黑" w:hAnsi="微软雅黑" w:eastAsia="微软雅黑"/>
          <w:b/>
          <w:sz w:val="22"/>
        </w:rPr>
        <w:t>数据洞察</w:t>
      </w:r>
      <w:r>
        <w:rPr>
          <w:rFonts w:ascii="微软雅黑" w:hAnsi="微软雅黑" w:eastAsia="微软雅黑"/>
          <w:sz w:val="22"/>
        </w:rPr>
        <w:t>：对话日志分析可揭示各地校共体建设的共性问题和薄弱环节</w:t>
      </w:r>
    </w:p>
    <w:p>
      <w:pPr>
        <w:pStyle w:val="Heading2"/>
      </w:pPr>
      <w:r>
        <w:t>附录</w:t>
      </w:r>
    </w:p>
    <w:p>
      <w:pPr>
        <w:pStyle w:val="Heading3"/>
      </w:pPr>
      <w:r>
        <w:t>附录A：术语表</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术语</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校共体</w:t>
            </w:r>
          </w:p>
        </w:tc>
        <w:tc>
          <w:tcPr>
            <w:tcW w:type="dxa" w:w="4533"/>
          </w:tcPr>
          <w:p>
            <w:r/>
            <w:r>
              <w:rPr>
                <w:rFonts w:ascii="微软雅黑" w:hAnsi="微软雅黑" w:eastAsia="微软雅黑"/>
                <w:sz w:val="20"/>
              </w:rPr>
              <w:t>城乡学校共同体，指城镇优质学校与乡村薄弱学校的结对协作组织</w:t>
            </w:r>
          </w:p>
        </w:tc>
      </w:tr>
      <w:tr>
        <w:tc>
          <w:tcPr>
            <w:tcW w:type="dxa" w:w="4533"/>
          </w:tcPr>
          <w:p>
            <w:r/>
            <w:r>
              <w:rPr>
                <w:rFonts w:ascii="微软雅黑" w:hAnsi="微软雅黑" w:eastAsia="微软雅黑"/>
                <w:sz w:val="20"/>
              </w:rPr>
              <w:t>RAG</w:t>
            </w:r>
          </w:p>
        </w:tc>
        <w:tc>
          <w:tcPr>
            <w:tcW w:type="dxa" w:w="4533"/>
          </w:tcPr>
          <w:p>
            <w:r/>
            <w:r>
              <w:rPr>
                <w:rFonts w:ascii="微软雅黑" w:hAnsi="微软雅黑" w:eastAsia="微软雅黑"/>
                <w:sz w:val="20"/>
              </w:rPr>
              <w:t>Retrieval-Augmented Generation，检索增强生成，结合知识检索与大模型生成的AI问答技术</w:t>
            </w:r>
          </w:p>
        </w:tc>
      </w:tr>
      <w:tr>
        <w:tc>
          <w:tcPr>
            <w:tcW w:type="dxa" w:w="4533"/>
          </w:tcPr>
          <w:p>
            <w:r/>
            <w:r>
              <w:rPr>
                <w:rFonts w:ascii="微软雅黑" w:hAnsi="微软雅黑" w:eastAsia="微软雅黑"/>
                <w:sz w:val="20"/>
              </w:rPr>
              <w:t>NER</w:t>
            </w:r>
          </w:p>
        </w:tc>
        <w:tc>
          <w:tcPr>
            <w:tcW w:type="dxa" w:w="4533"/>
          </w:tcPr>
          <w:p>
            <w:r/>
            <w:r>
              <w:rPr>
                <w:rFonts w:ascii="微软雅黑" w:hAnsi="微软雅黑" w:eastAsia="微软雅黑"/>
                <w:sz w:val="20"/>
              </w:rPr>
              <w:t>Named Entity Recognition，命名实体识别，用于从文本中提取人名、地名、机构名等</w:t>
            </w:r>
          </w:p>
        </w:tc>
      </w:tr>
      <w:tr>
        <w:tc>
          <w:tcPr>
            <w:tcW w:type="dxa" w:w="4533"/>
          </w:tcPr>
          <w:p>
            <w:r/>
            <w:r>
              <w:rPr>
                <w:rFonts w:ascii="微软雅黑" w:hAnsi="微软雅黑" w:eastAsia="微软雅黑"/>
                <w:sz w:val="20"/>
              </w:rPr>
              <w:t>pgvector</w:t>
            </w:r>
          </w:p>
        </w:tc>
        <w:tc>
          <w:tcPr>
            <w:tcW w:type="dxa" w:w="4533"/>
          </w:tcPr>
          <w:p>
            <w:r/>
            <w:r>
              <w:rPr>
                <w:rFonts w:ascii="微软雅黑" w:hAnsi="微软雅黑" w:eastAsia="微软雅黑"/>
                <w:sz w:val="20"/>
              </w:rPr>
              <w:t>PostgreSQL向量检索扩展，支持高维向量的存储和近似最近邻搜索</w:t>
            </w:r>
          </w:p>
        </w:tc>
      </w:tr>
      <w:tr>
        <w:tc>
          <w:tcPr>
            <w:tcW w:type="dxa" w:w="4533"/>
          </w:tcPr>
          <w:p>
            <w:r/>
            <w:r>
              <w:rPr>
                <w:rFonts w:ascii="微软雅黑" w:hAnsi="微软雅黑" w:eastAsia="微软雅黑"/>
                <w:sz w:val="20"/>
              </w:rPr>
              <w:t>SSE</w:t>
            </w:r>
          </w:p>
        </w:tc>
        <w:tc>
          <w:tcPr>
            <w:tcW w:type="dxa" w:w="4533"/>
          </w:tcPr>
          <w:p>
            <w:r/>
            <w:r>
              <w:rPr>
                <w:rFonts w:ascii="微软雅黑" w:hAnsi="微软雅黑" w:eastAsia="微软雅黑"/>
                <w:sz w:val="20"/>
              </w:rPr>
              <w:t>Server-Sent Events，服务器推送事件，用于实现流式输出效果</w:t>
            </w:r>
          </w:p>
        </w:tc>
      </w:tr>
      <w:tr>
        <w:tc>
          <w:tcPr>
            <w:tcW w:type="dxa" w:w="4533"/>
          </w:tcPr>
          <w:p>
            <w:r/>
            <w:r>
              <w:rPr>
                <w:rFonts w:ascii="微软雅黑" w:hAnsi="微软雅黑" w:eastAsia="微软雅黑"/>
                <w:sz w:val="20"/>
              </w:rPr>
              <w:t>JWT</w:t>
            </w:r>
          </w:p>
        </w:tc>
        <w:tc>
          <w:tcPr>
            <w:tcW w:type="dxa" w:w="4533"/>
          </w:tcPr>
          <w:p>
            <w:r/>
            <w:r>
              <w:rPr>
                <w:rFonts w:ascii="微软雅黑" w:hAnsi="微软雅黑" w:eastAsia="微软雅黑"/>
                <w:sz w:val="20"/>
              </w:rPr>
              <w:t>JSON Web Token，用于用户身份认证的令牌机制</w:t>
            </w:r>
          </w:p>
        </w:tc>
      </w:tr>
    </w:tbl>
    <w:p/>
    <w:p>
      <w:pPr>
        <w:pStyle w:val="Heading3"/>
      </w:pPr>
      <w:r>
        <w:t>附录B：关联文档</w:t>
      </w:r>
    </w:p>
    <w:tbl>
      <w:tblPr>
        <w:tblStyle w:val="TableGrid"/>
        <w:tblW w:type="auto" w:w="0"/>
        <w:jc w:val="center"/>
        <w:tblLook w:firstColumn="1" w:firstRow="1" w:lastColumn="0" w:lastRow="0" w:noHBand="0" w:noVBand="1" w:val="04A0"/>
      </w:tblPr>
      <w:tblGrid>
        <w:gridCol w:w="4533"/>
        <w:gridCol w:w="4533"/>
      </w:tblGrid>
      <w:tr>
        <w:tc>
          <w:tcPr>
            <w:tcW w:type="dxa" w:w="4533"/>
            <w:shd w:val="clear" w:color="auto" w:fill="D6E4F0"/>
          </w:tcPr>
          <w:p>
            <w:pPr>
              <w:jc w:val="center"/>
            </w:pPr>
            <w:r/>
            <w:r>
              <w:rPr>
                <w:rFonts w:ascii="微软雅黑" w:hAnsi="微软雅黑" w:eastAsia="微软雅黑"/>
                <w:b/>
                <w:sz w:val="20"/>
              </w:rPr>
              <w:t>文档</w:t>
            </w:r>
          </w:p>
        </w:tc>
        <w:tc>
          <w:tcPr>
            <w:tcW w:type="dxa" w:w="4533"/>
            <w:shd w:val="clear" w:color="auto" w:fill="D6E4F0"/>
          </w:tcPr>
          <w:p>
            <w:pPr>
              <w:jc w:val="center"/>
            </w:pPr>
            <w:r/>
            <w:r>
              <w:rPr>
                <w:rFonts w:ascii="微软雅黑" w:hAnsi="微软雅黑" w:eastAsia="微软雅黑"/>
                <w:b/>
                <w:sz w:val="20"/>
              </w:rPr>
              <w:t>说明</w:t>
            </w:r>
          </w:p>
        </w:tc>
      </w:tr>
      <w:tr>
        <w:tc>
          <w:tcPr>
            <w:tcW w:type="dxa" w:w="4533"/>
          </w:tcPr>
          <w:p>
            <w:r/>
            <w:r>
              <w:rPr>
                <w:rFonts w:ascii="微软雅黑" w:hAnsi="微软雅黑" w:eastAsia="微软雅黑"/>
                <w:sz w:val="20"/>
              </w:rPr>
              <w:t>`docs/prd.md`</w:t>
            </w:r>
          </w:p>
        </w:tc>
        <w:tc>
          <w:tcPr>
            <w:tcW w:type="dxa" w:w="4533"/>
          </w:tcPr>
          <w:p>
            <w:r/>
            <w:r>
              <w:rPr>
                <w:rFonts w:ascii="微软雅黑" w:hAnsi="微软雅黑" w:eastAsia="微软雅黑"/>
                <w:sz w:val="20"/>
              </w:rPr>
              <w:t>产品需求文档（PRD v1.3），含完整功能需求、非功能需求及Epic拆分</w:t>
            </w:r>
          </w:p>
        </w:tc>
      </w:tr>
      <w:tr>
        <w:tc>
          <w:tcPr>
            <w:tcW w:type="dxa" w:w="4533"/>
          </w:tcPr>
          <w:p>
            <w:r/>
            <w:r>
              <w:rPr>
                <w:rFonts w:ascii="微软雅黑" w:hAnsi="微软雅黑" w:eastAsia="微软雅黑"/>
                <w:sz w:val="20"/>
              </w:rPr>
              <w:t>`docs/front-end-spec.md`</w:t>
            </w:r>
          </w:p>
        </w:tc>
        <w:tc>
          <w:tcPr>
            <w:tcW w:type="dxa" w:w="4533"/>
          </w:tcPr>
          <w:p>
            <w:r/>
            <w:r>
              <w:rPr>
                <w:rFonts w:ascii="微软雅黑" w:hAnsi="微软雅黑" w:eastAsia="微软雅黑"/>
                <w:sz w:val="20"/>
              </w:rPr>
              <w:t>前端UI/UX设计规范，含信息架构、视觉规范、组件设计</w:t>
            </w:r>
          </w:p>
        </w:tc>
      </w:tr>
      <w:tr>
        <w:tc>
          <w:tcPr>
            <w:tcW w:type="dxa" w:w="4533"/>
          </w:tcPr>
          <w:p>
            <w:r/>
            <w:r>
              <w:rPr>
                <w:rFonts w:ascii="微软雅黑" w:hAnsi="微软雅黑" w:eastAsia="微软雅黑"/>
                <w:sz w:val="20"/>
              </w:rPr>
              <w:t>`docs/fullstack-architecture.md`</w:t>
            </w:r>
          </w:p>
        </w:tc>
        <w:tc>
          <w:tcPr>
            <w:tcW w:type="dxa" w:w="4533"/>
          </w:tcPr>
          <w:p>
            <w:r/>
            <w:r>
              <w:rPr>
                <w:rFonts w:ascii="微软雅黑" w:hAnsi="微软雅黑" w:eastAsia="微软雅黑"/>
                <w:sz w:val="20"/>
              </w:rPr>
              <w:t>全栈技术架构文档，含数据库Schema、API规范、Redis设计</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微软雅黑" w:hAnsi="微软雅黑" w:eastAsia="微软雅黑"/>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微软雅黑" w:hAnsi="微软雅黑" w:eastAsia="微软雅黑"/>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3C6E"/>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微软雅黑" w:hAnsi="微软雅黑" w:eastAsia="微软雅黑"/>
      <w:b/>
      <w:bCs/>
      <w:i/>
      <w:iCs/>
      <w:color w:val="1A3C6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