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rFonts w:ascii="黑体" w:hAnsi="黑体" w:eastAsia="黑体"/>
          <w:b/>
          <w:sz w:val="32"/>
        </w:rPr>
        <w:t>附件 C：硬件采购清单（甲方自采）</w:t>
      </w:r>
    </w:p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</w:t>
      </w:r>
      <w:r>
        <w:rPr>
          <w:rFonts w:ascii="楷体" w:hAnsi="楷体" w:eastAsia="楷体"/>
          <w:b/>
          <w:sz w:val="20"/>
        </w:rPr>
        <w:t>本附件是《技术开发（委托）合同》（合同编号：XP-ZPF202606082405）的组成部分</w:t>
      </w:r>
      <w:r>
        <w:rPr>
          <w:rFonts w:ascii="楷体" w:hAnsi="楷体" w:eastAsia="楷体"/>
          <w:b w:val="0"/>
          <w:sz w:val="20"/>
        </w:rPr>
        <w:t xml:space="preserve">，用于指导甲方自行采购部署服务器与配套硬件，对应主合同 2.3 条"不在本合同范围"中的"硬件采购"项。 </w:t>
      </w:r>
      <w:r>
        <w:rPr>
          <w:rFonts w:ascii="楷体" w:hAnsi="楷体" w:eastAsia="楷体"/>
          <w:b/>
          <w:sz w:val="20"/>
        </w:rPr>
        <w:t>硬件费用不含在合同金额 ¥68,000 元内</w:t>
      </w:r>
      <w:r>
        <w:rPr>
          <w:rFonts w:ascii="楷体" w:hAnsi="楷体" w:eastAsia="楷体"/>
          <w:b w:val="0"/>
          <w:sz w:val="20"/>
        </w:rPr>
        <w:t xml:space="preserve">，由甲方独立承担。 </w:t>
      </w:r>
      <w:r>
        <w:rPr>
          <w:rFonts w:ascii="楷体" w:hAnsi="楷体" w:eastAsia="楷体"/>
          <w:b/>
          <w:sz w:val="20"/>
        </w:rPr>
        <w:t>乙方提供采购建议、参数要求、部署与调试服务，不参与硬件定价、收货、付款。</w:t>
      </w:r>
      <w:r>
        <w:rPr>
          <w:rFonts w:ascii="楷体" w:hAnsi="楷体" w:eastAsia="楷体"/>
          <w:b w:val="0"/>
          <w:sz w:val="20"/>
        </w:rPr>
        <w:t>」</w:t>
      </w:r>
    </w:p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文档信息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合同编号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XP-ZPF202606082405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采购主体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昆山佰泰胜精密机械有限公司（甲方）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协助方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河南晓评信息科技有限公司（乙方）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附件版本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V1.0（2026 年 6 月）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适用范围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昆山佰泰胜专属 ERP 系统 V1.0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C.1 应用服务器（必选 · 1 台）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配置项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推荐参数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CPU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Intel Xeon Gold 6326 / AMD EPYC 7402 以上，</w:t>
            </w:r>
            <w:r>
              <w:rPr>
                <w:rFonts w:ascii="宋体" w:hAnsi="宋体" w:eastAsia="宋体"/>
                <w:b/>
                <w:sz w:val="21"/>
              </w:rPr>
              <w:t>8 核 16 线程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应用服务 + 报表计算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内存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/>
                <w:sz w:val="21"/>
              </w:rPr>
              <w:t>32 GB DDR4 ECC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 用户并发 + 报表缓存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系统盘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 × 1 TB NVMe SSD（RAID 1）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操作系统 + 应用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数据盘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 × 2 TB SATA SSD（RAID 1）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 + 文件存储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网络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千兆网卡 × 2（双网卡绑定 / 内外网隔离）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接入甲方内网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电源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冗余电源（1+1）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7×24 稳定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形态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机架式 2U 或塔式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机房或独立机柜</w:t>
            </w:r>
          </w:p>
        </w:tc>
      </w:tr>
    </w:tbl>
    <w:p/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参考型号</w:t>
      </w:r>
      <w:r>
        <w:rPr>
          <w:rFonts w:ascii="宋体" w:hAnsi="宋体" w:eastAsia="宋体"/>
          <w:b w:val="0"/>
          <w:sz w:val="21"/>
        </w:rPr>
        <w:t>（任选其一，甲方自定品牌）：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戴尔 PowerEdge R750xs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联想 ThinkSystem SR650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华为 TaiShan 200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>● HPE ProLiant DL380 Gen10</w:t>
      </w:r>
    </w:p>
    <w:p>
      <w:pPr>
        <w:spacing w:before="40" w:after="40" w:line="240" w:lineRule="auto"/>
        <w:ind w:firstLine="420"/>
      </w:pPr>
      <w:r>
        <w:rPr>
          <w:rFonts w:ascii="宋体" w:hAnsi="宋体" w:eastAsia="宋体"/>
          <w:b/>
          <w:sz w:val="21"/>
        </w:rPr>
        <w:t>数量</w:t>
      </w:r>
      <w:r>
        <w:rPr>
          <w:rFonts w:ascii="宋体" w:hAnsi="宋体" w:eastAsia="宋体"/>
          <w:b w:val="0"/>
          <w:sz w:val="21"/>
        </w:rPr>
        <w:t>：1 台（V1.0 阶段）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C.2 数据库服务器（推荐 · 与 C.1 二选一）</w:t>
      </w:r>
    </w:p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「如选择应用 + 数据库</w:t>
      </w:r>
      <w:r>
        <w:rPr>
          <w:rFonts w:ascii="楷体" w:hAnsi="楷体" w:eastAsia="楷体"/>
          <w:b/>
          <w:sz w:val="20"/>
        </w:rPr>
        <w:t>单机部署</w:t>
      </w:r>
      <w:r>
        <w:rPr>
          <w:rFonts w:ascii="楷体" w:hAnsi="楷体" w:eastAsia="楷体"/>
          <w:b w:val="0"/>
          <w:sz w:val="20"/>
        </w:rPr>
        <w:t xml:space="preserve">，可省略本节，对应 C.1 配置升级到 </w:t>
      </w:r>
      <w:r>
        <w:rPr>
          <w:rFonts w:ascii="楷体" w:hAnsi="楷体" w:eastAsia="楷体"/>
          <w:b/>
          <w:sz w:val="20"/>
        </w:rPr>
        <w:t>64 GB 内存 + 4 × 2 TB SSD</w:t>
      </w:r>
      <w:r>
        <w:rPr>
          <w:rFonts w:ascii="楷体" w:hAnsi="楷体" w:eastAsia="楷体"/>
          <w:b w:val="0"/>
          <w:sz w:val="20"/>
        </w:rPr>
        <w:t>。 如选择</w:t>
      </w:r>
      <w:r>
        <w:rPr>
          <w:rFonts w:ascii="楷体" w:hAnsi="楷体" w:eastAsia="楷体"/>
          <w:b/>
          <w:sz w:val="20"/>
        </w:rPr>
        <w:t>应用与数据库分离部署</w:t>
      </w:r>
      <w:r>
        <w:rPr>
          <w:rFonts w:ascii="楷体" w:hAnsi="楷体" w:eastAsia="楷体"/>
          <w:b w:val="0"/>
          <w:sz w:val="20"/>
        </w:rPr>
        <w:t>，需增配本节 1 台。」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配置项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推荐参数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CPU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 核 16 线程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内存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 GB DDR4 ECC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数据盘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 × 2 TB NVMe SSD（RAID 10）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备份盘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 × 4 TB HDD（RAID 1，存放备份）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C.3 备份介质（必选）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规格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移动硬盘（本地备份）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USB 3.2，4 TB，加密型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 块（轮换）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异地冷备硬盘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 TB，加密型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 块（甲方第二地点保管）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磁带库（可选）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LTO-9，企业级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 套（预算允许时）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C.4 网络与机房配套（必选）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441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机房环境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温度 18-26°C、湿度 40-60%、防尘、防静电地板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UPS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在线式 ≥ 3 kVA，断电续航 ≥ 30 分钟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网络交换机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千兆可网管 × 1（VLAN 隔离生产/办公）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防火墙/网闸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 台（隔离内网与外网，外网可选）</w:t>
            </w:r>
          </w:p>
        </w:tc>
      </w:tr>
      <w:tr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固定 IP</w:t>
            </w:r>
          </w:p>
        </w:tc>
        <w:tc>
          <w:tcPr>
            <w:tcW w:type="dxa" w:w="441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服务器绑定内网固定 IP（如 192.168.x.x）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C.5 扫码端硬件（推荐 · 甲方按需）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项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规格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  <w:tc>
          <w:tcPr>
            <w:tcW w:type="dxa" w:w="2209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工业 PDA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Android 11+，4G/5G + WiFi 6，IP65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 台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仓储扫码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无线扫码枪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USB / 蓝牙，Honeywell 或斑马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 把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工位扫码</w:t>
            </w:r>
          </w:p>
        </w:tc>
      </w:tr>
      <w:tr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标签打印机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斑马 GK888t 或博思得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 台</w:t>
            </w:r>
          </w:p>
        </w:tc>
        <w:tc>
          <w:tcPr>
            <w:tcW w:type="dxa" w:w="220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三码标签打印</w:t>
            </w:r>
          </w:p>
        </w:tc>
      </w:tr>
    </w:tbl>
    <w:p/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「注：PDA、扫码枪、打印机的型号、价位由甲方自定，乙方在 V1.0 上线前提供选型建议。」</w:t>
      </w:r>
    </w:p>
    <w:p>
      <w:pPr>
        <w:spacing w:before="240" w:after="80"/>
      </w:pPr>
      <w:r>
        <w:rPr>
          <w:rFonts w:ascii="黑体" w:hAnsi="黑体" w:eastAsia="黑体"/>
          <w:b/>
          <w:sz w:val="28"/>
        </w:rPr>
        <w:t>C.6 采购时间表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时间点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采购项</w:t>
            </w:r>
          </w:p>
        </w:tc>
        <w:tc>
          <w:tcPr>
            <w:tcW w:type="dxa" w:w="2946"/>
            <w:shd w:fill="D9E2F3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1"/>
              </w:rPr>
              <w:t>责任人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合同生效 + 5 天内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C.1 应用服务器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甲方 IT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合同生效 + 10 天内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C.3 备份介质 + C.4 网络机房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甲方 IT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合同生效 + 15 天内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C.5 扫码端硬件（如需乙方协助选型）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甲方 + 乙方建议</w:t>
            </w:r>
          </w:p>
        </w:tc>
      </w:tr>
      <w:tr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合同生效 + 20 天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全部硬件到货，乙方进场部署</w:t>
            </w:r>
          </w:p>
        </w:tc>
        <w:tc>
          <w:tcPr>
            <w:tcW w:type="dxa" w:w="294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双方</w:t>
            </w:r>
          </w:p>
        </w:tc>
      </w:tr>
    </w:tbl>
    <w:p/>
    <w:p>
      <w:pPr>
        <w:spacing w:before="240" w:after="80"/>
      </w:pPr>
      <w:r>
        <w:rPr>
          <w:rFonts w:ascii="黑体" w:hAnsi="黑体" w:eastAsia="黑体"/>
          <w:b/>
          <w:sz w:val="28"/>
        </w:rPr>
        <w:t>C.7 硬件采购与本合同的关系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硬件不在合同范围</w:t>
      </w:r>
      <w:r>
        <w:rPr>
          <w:rFonts w:ascii="宋体" w:hAnsi="宋体" w:eastAsia="宋体"/>
          <w:b w:val="0"/>
          <w:sz w:val="21"/>
        </w:rPr>
        <w:t>：硬件采购、运输、安装、调试费用由甲方独立承担，</w:t>
      </w:r>
      <w:r>
        <w:rPr>
          <w:rFonts w:ascii="宋体" w:hAnsi="宋体" w:eastAsia="宋体"/>
          <w:b/>
          <w:sz w:val="21"/>
        </w:rPr>
        <w:t>不计入合同金额 ¥68,000 元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乙方协助义务</w:t>
      </w:r>
      <w:r>
        <w:rPr>
          <w:rFonts w:ascii="宋体" w:hAnsi="宋体" w:eastAsia="宋体"/>
          <w:b w:val="0"/>
          <w:sz w:val="21"/>
        </w:rPr>
        <w:t>：乙方提供：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C.1 ~ C.5 选型建议书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部署前环境检查报告（机房 / 网络 / UPS / 备份）</w:t>
      </w:r>
    </w:p>
    <w:p>
      <w:pPr>
        <w:spacing w:before="0" w:after="0"/>
        <w:ind w:left="703" w:hanging="283"/>
      </w:pPr>
      <w:r>
        <w:rPr>
          <w:rFonts w:ascii="宋体" w:hAnsi="宋体" w:eastAsia="宋体"/>
          <w:b w:val="0"/>
          <w:sz w:val="21"/>
        </w:rPr>
        <w:t>● 部署 + 调试服务（含在合同内）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硬件质保</w:t>
      </w:r>
      <w:r>
        <w:rPr>
          <w:rFonts w:ascii="宋体" w:hAnsi="宋体" w:eastAsia="宋体"/>
          <w:b w:val="0"/>
          <w:sz w:val="21"/>
        </w:rPr>
        <w:t>：由硬件原厂提供，</w:t>
      </w:r>
      <w:r>
        <w:rPr>
          <w:rFonts w:ascii="宋体" w:hAnsi="宋体" w:eastAsia="宋体"/>
          <w:b/>
          <w:sz w:val="21"/>
        </w:rPr>
        <w:t>乙方不负责硬件维修</w:t>
      </w:r>
      <w:r>
        <w:rPr>
          <w:rFonts w:ascii="宋体" w:hAnsi="宋体" w:eastAsia="宋体"/>
          <w:b w:val="0"/>
          <w:sz w:val="21"/>
        </w:rPr>
        <w:t>，但配合甲方 IT 在质保期内向原厂报修。</w:t>
      </w:r>
    </w:p>
    <w:p>
      <w:pPr>
        <w:spacing w:before="0" w:after="0"/>
        <w:ind w:left="420" w:hanging="283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数据安全要求</w:t>
      </w:r>
      <w:r>
        <w:rPr>
          <w:rFonts w:ascii="宋体" w:hAnsi="宋体" w:eastAsia="宋体"/>
          <w:b w:val="0"/>
          <w:sz w:val="21"/>
        </w:rPr>
        <w:t>：所有承载本系统的服务器</w:t>
      </w:r>
      <w:r>
        <w:rPr>
          <w:rFonts w:ascii="宋体" w:hAnsi="宋体" w:eastAsia="宋体"/>
          <w:b/>
          <w:sz w:val="21"/>
        </w:rPr>
        <w:t>禁止连接任何公有云、外网 SaaS 平台</w:t>
      </w:r>
      <w:r>
        <w:rPr>
          <w:rFonts w:ascii="宋体" w:hAnsi="宋体" w:eastAsia="宋体"/>
          <w:b w:val="0"/>
          <w:sz w:val="21"/>
        </w:rPr>
        <w:t>；备份介质需使用</w:t>
      </w:r>
      <w:r>
        <w:rPr>
          <w:rFonts w:ascii="宋体" w:hAnsi="宋体" w:eastAsia="宋体"/>
          <w:b/>
          <w:sz w:val="21"/>
        </w:rPr>
        <w:t>支持加密的型号</w:t>
      </w:r>
      <w:r>
        <w:rPr>
          <w:rFonts w:ascii="宋体" w:hAnsi="宋体" w:eastAsia="宋体"/>
          <w:b w:val="0"/>
          <w:sz w:val="21"/>
        </w:rPr>
        <w:t>（硬件加密 + 软件加密双保险）。</w:t>
      </w:r>
    </w:p>
    <w:p>
      <w:pPr>
        <w:pBdr>
          <w:bottom w:val="single" w:sz="6" w:color="888888"/>
        </w:pBdr>
      </w:pPr>
    </w:p>
    <w:p>
      <w:pPr>
        <w:spacing w:before="80" w:after="80" w:line="240" w:lineRule="auto"/>
        <w:ind w:left="420" w:right="420"/>
      </w:pPr>
      <w:r>
        <w:rPr>
          <w:rFonts w:ascii="楷体" w:hAnsi="楷体" w:eastAsia="楷体"/>
          <w:b w:val="0"/>
          <w:sz w:val="20"/>
        </w:rPr>
        <w:t>「本附件以主合同双方签字盖章为准；单独使用时须同时出示主合同。」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701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18"/>
      </w:rPr>
      <w:t xml:space="preserve">第 </w:t>
      <w:fldChar w:fldCharType="begin"/>
      <w:instrText>PAGE</w:instrText>
      <w:fldChar w:fldCharType="end"/>
    </w:r>
    <w:r>
      <w:rPr>
        <w:rFonts w:ascii="宋体" w:hAnsi="宋体"/>
        <w:sz w:val="18"/>
      </w:rPr>
      <w:t xml:space="preserve"> 页 / 共 </w:t>
      <w:fldChar w:fldCharType="begin"/>
      <w:instrText>NUMPAGES</w:instrText>
      <w:fldChar w:fldCharType="end"/>
    </w:r>
    <w:r>
      <w:rPr>
        <w:rFonts w:ascii="宋体" w:hAnsi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附件 C：硬件采购清单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