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Dataset preparation and splitting</w:t>
      </w:r>
    </w:p>
    <w:p>
      <w:pPr>
        <w:pStyle w:val="Subtitle"/>
      </w:pPr>
      <w:r>
        <w:t>Viva study guide for the tuberculosis classification project</w:t>
        <w:br/>
        <w:t>Verified project records as of 24 October 2026</w:t>
      </w:r>
    </w:p>
    <w:p>
      <w:r>
        <w:t>The dataset was not divided 80/10/10. After cleaning, TBX11K, Kaggle and Montgomery form an 8,136-image development pool. Approximately 80% of that pool is training data and 20% is validation data. All 662 Shenzhen images form a separate source-held-out test set. This design asks whether a model developed on some sources can generalize to another source.</w:t>
      </w:r>
    </w:p>
    <w:tbl>
      <w:tblPr>
        <w:tblW w:type="auto" w:w="0"/>
        <w:jc w:val="center"/>
        <w:tblLayout w:type="fixed"/>
        <w:tblLook w:firstColumn="1" w:firstRow="1" w:lastColumn="0" w:lastRow="0" w:noHBand="0" w:noVBand="1" w:val="04A0"/>
      </w:tblPr>
      <w:tblGrid>
        <w:gridCol w:w="2459"/>
        <w:gridCol w:w="2459"/>
        <w:gridCol w:w="2459"/>
        <w:gridCol w:w="2459"/>
      </w:tblGrid>
      <w:tr>
        <w:trPr>
          <w:tblHeader/>
          <w:cantSplit/>
          <w:cantSplit/>
          <w:cantSplit/>
          <w:cantSplit/>
        </w:trPr>
        <w:tc>
          <w:tcPr>
            <w:tcW w:type="dxa" w:w="3384"/>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sz w:val="20"/>
              </w:rPr>
              <w:t>Split</w:t>
            </w:r>
          </w:p>
        </w:tc>
        <w:tc>
          <w:tcPr>
            <w:tcW w:type="dxa" w:w="2016"/>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Normal</w:t>
            </w:r>
          </w:p>
        </w:tc>
        <w:tc>
          <w:tcPr>
            <w:tcW w:type="dxa" w:w="2016"/>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TB</w:t>
            </w:r>
          </w:p>
        </w:tc>
        <w:tc>
          <w:tcPr>
            <w:tcW w:type="dxa" w:w="2232"/>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Total</w:t>
            </w:r>
          </w:p>
        </w:tc>
      </w:tr>
      <w:tr>
        <w:trPr>
          <w:cantSplit/>
          <w:cantSplit/>
          <w:cantSplit/>
          <w:cantSplit/>
        </w:trPr>
        <w:tc>
          <w:tcPr>
            <w:tcW w:type="dxa" w:w="33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Training</w:t>
            </w:r>
          </w:p>
        </w:tc>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5,579</w:t>
            </w:r>
          </w:p>
        </w:tc>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929</w:t>
            </w:r>
          </w:p>
        </w:tc>
        <w:tc>
          <w:tcPr>
            <w:tcW w:type="dxa" w:w="22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6,508</w:t>
            </w:r>
          </w:p>
        </w:tc>
      </w:tr>
      <w:tr>
        <w:trPr>
          <w:cantSplit/>
          <w:cantSplit/>
          <w:cantSplit/>
          <w:cantSplit/>
        </w:trPr>
        <w:tc>
          <w:tcPr>
            <w:tcW w:type="dxa" w:w="3384"/>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Validation</w:t>
            </w:r>
          </w:p>
        </w:tc>
        <w:tc>
          <w:tcPr>
            <w:tcW w:type="dxa" w:w="2016"/>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1,395</w:t>
            </w:r>
          </w:p>
        </w:tc>
        <w:tc>
          <w:tcPr>
            <w:tcW w:type="dxa" w:w="2016"/>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233</w:t>
            </w:r>
          </w:p>
        </w:tc>
        <w:tc>
          <w:tcPr>
            <w:tcW w:type="dxa" w:w="2232"/>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1,628</w:t>
            </w:r>
          </w:p>
        </w:tc>
      </w:tr>
      <w:tr>
        <w:trPr>
          <w:cantSplit/>
          <w:cantSplit/>
          <w:cantSplit/>
          <w:cantSplit/>
        </w:trPr>
        <w:tc>
          <w:tcPr>
            <w:tcW w:type="dxa" w:w="33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Shenzhen test</w:t>
            </w:r>
          </w:p>
        </w:tc>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326</w:t>
            </w:r>
          </w:p>
        </w:tc>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336</w:t>
            </w:r>
          </w:p>
        </w:tc>
        <w:tc>
          <w:tcPr>
            <w:tcW w:type="dxa" w:w="22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662</w:t>
            </w:r>
          </w:p>
        </w:tc>
      </w:tr>
      <w:tr>
        <w:trPr>
          <w:cantSplit/>
          <w:cantSplit/>
          <w:cantSplit/>
          <w:cantSplit/>
        </w:trPr>
        <w:tc>
          <w:tcPr>
            <w:tcW w:type="dxa" w:w="3384"/>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All retained images</w:t>
            </w:r>
          </w:p>
        </w:tc>
        <w:tc>
          <w:tcPr>
            <w:tcW w:type="dxa" w:w="2016"/>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7,300</w:t>
            </w:r>
          </w:p>
        </w:tc>
        <w:tc>
          <w:tcPr>
            <w:tcW w:type="dxa" w:w="2016"/>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1,498</w:t>
            </w:r>
          </w:p>
        </w:tc>
        <w:tc>
          <w:tcPr>
            <w:tcW w:type="dxa" w:w="2232"/>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8,798</w:t>
            </w:r>
          </w:p>
        </w:tc>
      </w:tr>
    </w:tbl>
    <w:p>
      <w:pPr>
        <w:spacing w:after="0"/>
      </w:pPr>
    </w:p>
    <w:p>
      <w:r>
        <w:t>Relative to all 8,798 retained images, these are 73.97% training, 18.50% validation and 7.52% test. Those percentages are consequences of reserving a complete source, not a requested 74/18.5/7.5 random split. The 80/20 statement applies only to the 8,136-image development pool.</w:t>
      </w:r>
    </w:p>
    <w:p>
      <w:pPr>
        <w:pStyle w:val="Heading2"/>
      </w:pPr>
      <w:r>
        <w:t>The prediction target</w:t>
      </w:r>
    </w:p>
    <w:p>
      <w:r>
        <w:t>Class 0 means Normal. Class 1 means dataset-labeled Tuberculosis. The available source labels include heterogeneous disease states and do not consistently establish confirmed active TB. The positive class therefore must not be described as uniformly confirmed active infection. Source annotations determine the labels; the preprocessing algorithm does not diagnose images.</w:t>
      </w:r>
    </w:p>
    <w:p>
      <w:pPr>
        <w:pStyle w:val="Heading2"/>
      </w:pPr>
      <w:r>
        <w:t>A short viva answer</w:t>
      </w:r>
    </w:p>
    <w:p>
      <w:r>
        <w:t>We cleaned and pooled TBX11K, Kaggle and Montgomery, then used a seeded split that preserves known patient groups and approximately preserves source and class proportions. We assigned about 80% of this pool to training and 20% to validation. Shenzhen was kept entirely separate for cross-dataset testing.</w:t>
      </w:r>
    </w:p>
    <w:p>
      <w:r>
        <w:t>This guide explains the inventory, exclusions, duplicate protections, split algorithm, preprocessing, file locations and limitations. Counts come from the saved project manifests and audit records, not from assuming the totals in an initial project prompt are correct.</w:t>
      </w:r>
    </w:p>
    <w:p>
      <w:r>
        <w:br w:type="page"/>
      </w:r>
    </w:p>
    <w:p>
      <w:pPr>
        <w:pStyle w:val="Heading1"/>
      </w:pPr>
      <w:r>
        <w:t>1 Dataset sources and usable labels</w:t>
      </w:r>
    </w:p>
    <w:tbl>
      <w:tblPr>
        <w:tblW w:type="auto" w:w="0"/>
        <w:jc w:val="center"/>
        <w:tblLayout w:type="fixed"/>
        <w:tblLook w:firstColumn="1" w:firstRow="1" w:lastColumn="0" w:lastRow="0" w:noHBand="0" w:noVBand="1" w:val="04A0"/>
      </w:tblPr>
      <w:tblGrid>
        <w:gridCol w:w="1967"/>
        <w:gridCol w:w="1967"/>
        <w:gridCol w:w="1967"/>
        <w:gridCol w:w="1967"/>
        <w:gridCol w:w="1967"/>
      </w:tblGrid>
      <w:tr>
        <w:trPr>
          <w:tblHeader/>
          <w:cantSplit/>
          <w:cantSplit/>
          <w:cantSplit/>
          <w:cantSplit/>
          <w:cantSplit/>
        </w:trPr>
        <w:tc>
          <w:tcPr>
            <w:tcW w:type="dxa" w:w="2592"/>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sz w:val="20"/>
              </w:rPr>
              <w:t>Source</w:t>
            </w:r>
          </w:p>
        </w:tc>
        <w:tc>
          <w:tcPr>
            <w:tcW w:type="dxa" w:w="1728"/>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Raw images</w:t>
            </w:r>
          </w:p>
        </w:tc>
        <w:tc>
          <w:tcPr>
            <w:tcW w:type="dxa" w:w="1872"/>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Normal retained</w:t>
            </w:r>
          </w:p>
        </w:tc>
        <w:tc>
          <w:tcPr>
            <w:tcW w:type="dxa" w:w="1728"/>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TB retained</w:t>
            </w:r>
          </w:p>
        </w:tc>
        <w:tc>
          <w:tcPr>
            <w:tcW w:type="dxa" w:w="1728"/>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Retained</w:t>
            </w:r>
          </w:p>
        </w:tc>
      </w:tr>
      <w:tr>
        <w:trPr>
          <w:cantSplit/>
          <w:cantSplit/>
          <w:cantSplit/>
          <w:cantSplit/>
          <w:cantSplit/>
        </w:trPr>
        <w:tc>
          <w:tcPr>
            <w:tcW w:type="dxa" w:w="25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TBX local export</w:t>
            </w:r>
          </w:p>
        </w:tc>
        <w:tc>
          <w:tcPr>
            <w:tcW w:type="dxa" w:w="17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11,702</w:t>
            </w:r>
          </w:p>
        </w:tc>
        <w:tc>
          <w:tcPr>
            <w:tcW w:type="dxa" w:w="187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3,800</w:t>
            </w:r>
          </w:p>
        </w:tc>
        <w:tc>
          <w:tcPr>
            <w:tcW w:type="dxa" w:w="17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799</w:t>
            </w:r>
          </w:p>
        </w:tc>
        <w:tc>
          <w:tcPr>
            <w:tcW w:type="dxa" w:w="17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4,599</w:t>
            </w:r>
          </w:p>
        </w:tc>
      </w:tr>
      <w:tr>
        <w:trPr>
          <w:cantSplit/>
          <w:cantSplit/>
          <w:cantSplit/>
          <w:cantSplit/>
          <w:cantSplit/>
        </w:trPr>
        <w:tc>
          <w:tcPr>
            <w:tcW w:type="dxa" w:w="2592"/>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Kaggle TB database</w:t>
            </w:r>
          </w:p>
        </w:tc>
        <w:tc>
          <w:tcPr>
            <w:tcW w:type="dxa" w:w="1728"/>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4,200</w:t>
            </w:r>
          </w:p>
        </w:tc>
        <w:tc>
          <w:tcPr>
            <w:tcW w:type="dxa" w:w="1872"/>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3,094</w:t>
            </w:r>
          </w:p>
        </w:tc>
        <w:tc>
          <w:tcPr>
            <w:tcW w:type="dxa" w:w="1728"/>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305</w:t>
            </w:r>
          </w:p>
        </w:tc>
        <w:tc>
          <w:tcPr>
            <w:tcW w:type="dxa" w:w="1728"/>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3,399</w:t>
            </w:r>
          </w:p>
        </w:tc>
      </w:tr>
      <w:tr>
        <w:trPr>
          <w:cantSplit/>
          <w:cantSplit/>
          <w:cantSplit/>
          <w:cantSplit/>
          <w:cantSplit/>
        </w:trPr>
        <w:tc>
          <w:tcPr>
            <w:tcW w:type="dxa" w:w="25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Montgomery</w:t>
            </w:r>
          </w:p>
        </w:tc>
        <w:tc>
          <w:tcPr>
            <w:tcW w:type="dxa" w:w="17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138</w:t>
            </w:r>
          </w:p>
        </w:tc>
        <w:tc>
          <w:tcPr>
            <w:tcW w:type="dxa" w:w="187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80</w:t>
            </w:r>
          </w:p>
        </w:tc>
        <w:tc>
          <w:tcPr>
            <w:tcW w:type="dxa" w:w="17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58</w:t>
            </w:r>
          </w:p>
        </w:tc>
        <w:tc>
          <w:tcPr>
            <w:tcW w:type="dxa" w:w="17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138</w:t>
            </w:r>
          </w:p>
        </w:tc>
      </w:tr>
      <w:tr>
        <w:trPr>
          <w:cantSplit/>
          <w:cantSplit/>
          <w:cantSplit/>
          <w:cantSplit/>
          <w:cantSplit/>
        </w:trPr>
        <w:tc>
          <w:tcPr>
            <w:tcW w:type="dxa" w:w="2592"/>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Shenzhen</w:t>
            </w:r>
          </w:p>
        </w:tc>
        <w:tc>
          <w:tcPr>
            <w:tcW w:type="dxa" w:w="1728"/>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662</w:t>
            </w:r>
          </w:p>
        </w:tc>
        <w:tc>
          <w:tcPr>
            <w:tcW w:type="dxa" w:w="1872"/>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326</w:t>
            </w:r>
          </w:p>
        </w:tc>
        <w:tc>
          <w:tcPr>
            <w:tcW w:type="dxa" w:w="1728"/>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336</w:t>
            </w:r>
          </w:p>
        </w:tc>
        <w:tc>
          <w:tcPr>
            <w:tcW w:type="dxa" w:w="1728"/>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662</w:t>
            </w:r>
          </w:p>
        </w:tc>
      </w:tr>
      <w:tr>
        <w:trPr>
          <w:cantSplit/>
          <w:cantSplit/>
          <w:cantSplit/>
          <w:cantSplit/>
          <w:cantSplit/>
        </w:trPr>
        <w:tc>
          <w:tcPr>
            <w:tcW w:type="dxa" w:w="25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Total</w:t>
            </w:r>
          </w:p>
        </w:tc>
        <w:tc>
          <w:tcPr>
            <w:tcW w:type="dxa" w:w="17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16,702</w:t>
            </w:r>
          </w:p>
        </w:tc>
        <w:tc>
          <w:tcPr>
            <w:tcW w:type="dxa" w:w="187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7,300</w:t>
            </w:r>
          </w:p>
        </w:tc>
        <w:tc>
          <w:tcPr>
            <w:tcW w:type="dxa" w:w="17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1,498</w:t>
            </w:r>
          </w:p>
        </w:tc>
        <w:tc>
          <w:tcPr>
            <w:tcW w:type="dxa" w:w="17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8,798</w:t>
            </w:r>
          </w:p>
        </w:tc>
      </w:tr>
    </w:tbl>
    <w:p>
      <w:pPr>
        <w:spacing w:after="0"/>
      </w:pPr>
    </w:p>
    <w:p>
      <w:pPr>
        <w:pStyle w:val="Heading2"/>
      </w:pPr>
      <w:r>
        <w:t>Why TBX contributes fewer images than expected</w:t>
      </w:r>
    </w:p>
    <w:p>
      <w:r>
        <w:t>The local DatasetNinja export has usable annotations for 3,800 healthy images and 799 TB images. The TB annotations comprise 630 active, 139 latent and 30 mixed source labels. Their inclusion follows the approved dataset-labeled-TB endpoint. They should not all be renamed active TB.</w:t>
      </w:r>
    </w:p>
    <w:p>
      <w:r>
        <w:t>We excluded 3,800 images explicitly labeled sick but non-TB. Putting these into either of the intended two classes would change the task. We also excluded 3,303 unlabeled images: all 3,302 images in the source test subset plus one source-training image. A missing annotation is not a Normal label. We did not infer disease from a filename, image appearance or dataset ordering.</w:t>
      </w:r>
    </w:p>
    <w:p>
      <w:r>
        <w:t>The original requested 5,000 healthy and 1,200 TB counts could not be recovered from the usable local annotations. The source export contains 11,702 files, but an image count is not the same as a usable labeled sample count.</w:t>
      </w:r>
    </w:p>
    <w:p>
      <w:pPr>
        <w:pStyle w:val="Heading2"/>
      </w:pPr>
      <w:r>
        <w:t>How the other labels are obtained</w:t>
      </w:r>
    </w:p>
    <w:p>
      <w:r>
        <w:t>Kaggle supplies Normal and Tuberculosis folders and metadata spreadsheets with FILE NAME and URL columns. Filename joins verify that image files and metadata agree. Montgomery and Shenzhen use their clinical CSV records and the binary filename suffix convention, with checks for valid names, missing studies and duplicate records. Their positive source labels are retained without claiming uniform active disease.</w:t>
      </w:r>
    </w:p>
    <w:p>
      <w:r>
        <w:t>Montgomery and Shenzhen are the public chest X-ray collections associated with Montgomery County in the United States and Shenzhen in China. Kaggle is a redistributed collection with multiple origins; a download platform does not automatically represent a single hospital or acquisition protocol. This matters when interpreting cross-source performance.</w:t>
      </w:r>
    </w:p>
    <w:p>
      <w:r>
        <w:br w:type="page"/>
      </w:r>
    </w:p>
    <w:p>
      <w:pPr>
        <w:pStyle w:val="Heading1"/>
      </w:pPr>
      <w:r>
        <w:t>2 Duplicate removal and leakage prevention</w:t>
      </w:r>
    </w:p>
    <w:p>
      <w:pPr>
        <w:pStyle w:val="Heading2"/>
      </w:pPr>
      <w:r>
        <w:t>Provenance exclusion before pixel comparison</w:t>
      </w:r>
    </w:p>
    <w:p>
      <w:r>
        <w:t>Kaggle metadata identifies 800 images derived from the NLM Montgomery/Shenzhen source article, recognized by PMC4256233 in the URL: 406 Normal and 394 TB. We exclude these Kaggle derivatives and retain the original Montgomery and Shenzhen collections. Filename-to-metadata matching is essential because redistributed images can have different names or dimensions.</w:t>
      </w:r>
    </w:p>
    <w:p>
      <w:r>
        <w:t>These are 800 provenance-based exclusions, not 800 demonstrated identical-pixel pairs. We do not remove every image mentioning NIH, NLM or NIAID: unrelated collections must not be excluded just because an institution is shared. This leaves 3,400 Kaggle images before the pixel audit.</w:t>
      </w:r>
    </w:p>
    <w:p>
      <w:pPr>
        <w:pStyle w:val="Heading2"/>
      </w:pPr>
      <w:r>
        <w:t>Exact decoded pixel comparison</w:t>
      </w:r>
    </w:p>
    <w:p>
      <w:r>
        <w:t>For every remaining candidate, the cleaner decodes the original image as grayscale, includes its original shape and pixel bytes, and computes SHA-256. The comparison happens before resizing or CLAHE. It can find identical decoded images despite different PNG encoding or metadata. It does not guarantee detection of cropped, resized, compressed or otherwise altered near-duplicates.</w:t>
      </w:r>
    </w:p>
    <w:p>
      <w:r>
        <w:t>One additional Kaggle duplicate was found: Tuberculosis-244.png has the same decoded grayscale pixels as Tuberculosis-243.png. The latter is retained; the former is excluded from the manifest. This leaves 3,399 Kaggle images. Raw files are not deleted. Duplicate priority protects Shenzhen originals, then Montgomery, then TBX, then Kaggle. Conflicting labels for identical pixels trigger an error rather than an arbitrary choice.</w:t>
      </w:r>
    </w:p>
    <w:p>
      <w:pPr>
        <w:pStyle w:val="Heading2"/>
      </w:pPr>
      <w:r>
        <w:t>Different images of the same patient</w:t>
      </w:r>
    </w:p>
    <w:p>
      <w:r>
        <w:t>Patient overlap can leak information even when the images differ. Explicit Montgomery references connect MCUCXR_0113_1 with MCUCXR_0117_1, and connect MCUCXR_0162_1, MCUCXR_0166_1 and MCUCXR_0170_1. Connected references form patient groups transitively; each group stays in a single split. The first group is in training and the second is in validation.</w:t>
      </w:r>
    </w:p>
    <w:p>
      <w:r>
        <w:t>Patient grouping retains the images; it changes which split they can enter. Complete patient identifiers are not available across every source, so the project cannot claim that all possible patient overlap has been ruled out.</w:t>
      </w:r>
    </w:p>
    <w:p>
      <w:r>
        <w:t>The arithmetic is auditable: 3,800 sick/non-TB + 3,303 unlabeled + 800 provenance overlaps + 1 pixel duplicate = 7,904 exclusions. The 16,702 original images minus 7,904 exclusions leave 8,798 retained images.</w:t>
      </w:r>
    </w:p>
    <w:p>
      <w:r>
        <w:br w:type="page"/>
      </w:r>
    </w:p>
    <w:p>
      <w:pPr>
        <w:pStyle w:val="Heading1"/>
      </w:pPr>
      <w:r>
        <w:t>3 The exact split across sources</w:t>
      </w:r>
    </w:p>
    <w:tbl>
      <w:tblPr>
        <w:tblW w:type="auto" w:w="0"/>
        <w:jc w:val="center"/>
        <w:tblLayout w:type="fixed"/>
        <w:tblLook w:firstColumn="1" w:firstRow="1" w:lastColumn="0" w:lastRow="0" w:noHBand="0" w:noVBand="1" w:val="04A0"/>
      </w:tblPr>
      <w:tblGrid>
        <w:gridCol w:w="1967"/>
        <w:gridCol w:w="1967"/>
        <w:gridCol w:w="1967"/>
        <w:gridCol w:w="1967"/>
        <w:gridCol w:w="1967"/>
      </w:tblGrid>
      <w:tr>
        <w:trPr>
          <w:tblHeader/>
          <w:cantSplit/>
          <w:cantSplit/>
          <w:cantSplit/>
          <w:cantSplit/>
          <w:cantSplit/>
        </w:trPr>
        <w:tc>
          <w:tcPr>
            <w:tcW w:type="dxa" w:w="2592"/>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sz w:val="20"/>
              </w:rPr>
              <w:t>Source</w:t>
            </w:r>
          </w:p>
        </w:tc>
        <w:tc>
          <w:tcPr>
            <w:tcW w:type="dxa" w:w="1800"/>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Train Normal</w:t>
            </w:r>
          </w:p>
        </w:tc>
        <w:tc>
          <w:tcPr>
            <w:tcW w:type="dxa" w:w="1800"/>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Train TB</w:t>
            </w:r>
          </w:p>
        </w:tc>
        <w:tc>
          <w:tcPr>
            <w:tcW w:type="dxa" w:w="1800"/>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Val Normal</w:t>
            </w:r>
          </w:p>
        </w:tc>
        <w:tc>
          <w:tcPr>
            <w:tcW w:type="dxa" w:w="1800"/>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Val TB</w:t>
            </w:r>
          </w:p>
        </w:tc>
      </w:tr>
      <w:tr>
        <w:trPr>
          <w:cantSplit/>
          <w:cantSplit/>
          <w:cantSplit/>
          <w:cantSplit/>
          <w:cantSplit/>
        </w:trPr>
        <w:tc>
          <w:tcPr>
            <w:tcW w:type="dxa" w:w="25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TBX</w:t>
            </w:r>
          </w:p>
        </w:tc>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3,040</w:t>
            </w:r>
          </w:p>
        </w:tc>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639</w:t>
            </w:r>
          </w:p>
        </w:tc>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760</w:t>
            </w:r>
          </w:p>
        </w:tc>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160</w:t>
            </w:r>
          </w:p>
        </w:tc>
      </w:tr>
      <w:tr>
        <w:trPr>
          <w:cantSplit/>
          <w:cantSplit/>
          <w:cantSplit/>
          <w:cantSplit/>
          <w:cantSplit/>
        </w:trPr>
        <w:tc>
          <w:tcPr>
            <w:tcW w:type="dxa" w:w="2592"/>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Kaggle</w:t>
            </w:r>
          </w:p>
        </w:tc>
        <w:tc>
          <w:tcPr>
            <w:tcW w:type="dxa" w:w="1800"/>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2,475</w:t>
            </w:r>
          </w:p>
        </w:tc>
        <w:tc>
          <w:tcPr>
            <w:tcW w:type="dxa" w:w="1800"/>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244</w:t>
            </w:r>
          </w:p>
        </w:tc>
        <w:tc>
          <w:tcPr>
            <w:tcW w:type="dxa" w:w="1800"/>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619</w:t>
            </w:r>
          </w:p>
        </w:tc>
        <w:tc>
          <w:tcPr>
            <w:tcW w:type="dxa" w:w="1800"/>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61</w:t>
            </w:r>
          </w:p>
        </w:tc>
      </w:tr>
      <w:tr>
        <w:trPr>
          <w:cantSplit/>
          <w:cantSplit/>
          <w:cantSplit/>
          <w:cantSplit/>
          <w:cantSplit/>
        </w:trPr>
        <w:tc>
          <w:tcPr>
            <w:tcW w:type="dxa" w:w="25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Montgomery</w:t>
            </w:r>
          </w:p>
        </w:tc>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64</w:t>
            </w:r>
          </w:p>
        </w:tc>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46</w:t>
            </w:r>
          </w:p>
        </w:tc>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16</w:t>
            </w:r>
          </w:p>
        </w:tc>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12</w:t>
            </w:r>
          </w:p>
        </w:tc>
      </w:tr>
      <w:tr>
        <w:trPr>
          <w:cantSplit/>
          <w:cantSplit/>
          <w:cantSplit/>
          <w:cantSplit/>
          <w:cantSplit/>
        </w:trPr>
        <w:tc>
          <w:tcPr>
            <w:tcW w:type="dxa" w:w="2592"/>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Pooled total</w:t>
            </w:r>
          </w:p>
        </w:tc>
        <w:tc>
          <w:tcPr>
            <w:tcW w:type="dxa" w:w="1800"/>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5,579</w:t>
            </w:r>
          </w:p>
        </w:tc>
        <w:tc>
          <w:tcPr>
            <w:tcW w:type="dxa" w:w="1800"/>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929</w:t>
            </w:r>
          </w:p>
        </w:tc>
        <w:tc>
          <w:tcPr>
            <w:tcW w:type="dxa" w:w="1800"/>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1,395</w:t>
            </w:r>
          </w:p>
        </w:tc>
        <w:tc>
          <w:tcPr>
            <w:tcW w:type="dxa" w:w="1800"/>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233</w:t>
            </w:r>
          </w:p>
        </w:tc>
      </w:tr>
    </w:tbl>
    <w:p>
      <w:pPr>
        <w:spacing w:after="0"/>
      </w:pPr>
    </w:p>
    <w:p>
      <w:r>
        <w:t>Shenzhen contributes no training or validation images. Its entire test set contains 326 Normal and 336 TB images. Validation therefore measures performance on held-out examples from the development sources; testing measures performance on a held-out source.</w:t>
      </w:r>
    </w:p>
    <w:p>
      <w:pPr>
        <w:pStyle w:val="Heading2"/>
      </w:pPr>
      <w:r>
        <w:t>How the split is generated</w:t>
      </w:r>
    </w:p>
    <w:p>
      <w:r>
        <w:t>The cleaner first removes excluded labels and duplicates, then separates Shenzhen from the development pool. It forms a stratification label by combining source and class, such as tbx11k:0 or kaggle:1. The patient-group identifier is supplied separately. StratifiedGroupKFold uses five folds, shuffling enabled and random_state=42. We take one fold as validation and the other four as training.</w:t>
      </w:r>
    </w:p>
    <w:p>
      <w:r>
        <w:t>Only one partition is used. Using a five-fold splitter to obtain an approximately 80/20 partition is not the same as conducting five-fold cross-validation. Actual cross-validation would train and evaluate multiple models with each fold serving as validation in turn. That was not done here. Exact proportions can differ slightly because patient groups must stay intact.</w:t>
      </w:r>
    </w:p>
    <w:p>
      <w:r>
        <w:t>A fixed seed makes this assignment repeatable for unchanged inputs and software. It does not prove that the chosen split is optimal, and reproducibility does not imply statistical reliability from a single split. We do not search over split seeds until a favorable score appears.</w:t>
      </w:r>
    </w:p>
    <w:p>
      <w:pPr>
        <w:pStyle w:val="Heading2"/>
      </w:pPr>
      <w:r>
        <w:t>Why this differs from a random test split</w:t>
      </w:r>
    </w:p>
    <w:p>
      <w:r>
        <w:t>A random test split across all sources could contain the same acquisition characteristics as training. Reserving Shenzhen makes source differences part of the test: scanner appearance, image quality, case mix, labeling conventions and preprocessing history can differ. That is a stronger generalization question, but performance differences also reflect changes in class prevalence and source characteristics, not just a single causal factor.</w:t>
      </w:r>
    </w:p>
    <w:p>
      <w:r>
        <w:t>The project checks that known group identifiers and exact pixel hashes are disjoint across train, validation and test. Splitting happens before dynamic augmentation. An augmented version of a training image must never become a validation or test example.</w:t>
      </w:r>
    </w:p>
    <w:p>
      <w:r>
        <w:br w:type="page"/>
      </w:r>
    </w:p>
    <w:p>
      <w:pPr>
        <w:pStyle w:val="Heading1"/>
      </w:pPr>
      <w:r>
        <w:t>4 What is stored after preprocessing</w:t>
      </w:r>
    </w:p>
    <w:tbl>
      <w:tblPr>
        <w:tblW w:type="auto" w:w="0"/>
        <w:jc w:val="center"/>
        <w:tblLayout w:type="fixed"/>
        <w:tblLook w:firstColumn="1" w:firstRow="1" w:lastColumn="0" w:lastRow="0" w:noHBand="0" w:noVBand="1" w:val="04A0"/>
      </w:tblPr>
      <w:tblGrid>
        <w:gridCol w:w="3278"/>
        <w:gridCol w:w="3278"/>
        <w:gridCol w:w="3278"/>
      </w:tblGrid>
      <w:tr>
        <w:trPr>
          <w:tblHeader/>
          <w:cantSplit/>
          <w:cantSplit/>
          <w:cantSplit/>
        </w:trPr>
        <w:tc>
          <w:tcPr>
            <w:tcW w:type="dxa" w:w="2448"/>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sz w:val="20"/>
              </w:rPr>
              <w:t>Stage</w:t>
            </w:r>
          </w:p>
        </w:tc>
        <w:tc>
          <w:tcPr>
            <w:tcW w:type="dxa" w:w="3528"/>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Saved representation</w:t>
            </w:r>
          </w:p>
        </w:tc>
        <w:tc>
          <w:tcPr>
            <w:tcW w:type="dxa" w:w="3672"/>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Purpose</w:t>
            </w:r>
          </w:p>
        </w:tc>
      </w:tr>
      <w:tr>
        <w:trPr>
          <w:cantSplit/>
          <w:cantSplit/>
          <w:cantSplit/>
        </w:trPr>
        <w:tc>
          <w:tcPr>
            <w:tcW w:type="dxa" w:w="244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Grayscale</w:t>
            </w:r>
          </w:p>
        </w:tc>
        <w:tc>
          <w:tcPr>
            <w:tcW w:type="dxa" w:w="35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Original-size uint8 PNG</w:t>
            </w:r>
          </w:p>
        </w:tc>
        <w:tc>
          <w:tcPr>
            <w:tcW w:type="dxa" w:w="367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One intensity channel</w:t>
            </w:r>
          </w:p>
        </w:tc>
      </w:tr>
      <w:tr>
        <w:trPr>
          <w:cantSplit/>
          <w:cantSplit/>
          <w:cantSplit/>
        </w:trPr>
        <w:tc>
          <w:tcPr>
            <w:tcW w:type="dxa" w:w="2448"/>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Resizing</w:t>
            </w:r>
          </w:p>
        </w:tc>
        <w:tc>
          <w:tcPr>
            <w:tcW w:type="dxa" w:w="3528"/>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224 x 224 uint8 PNG</w:t>
            </w:r>
          </w:p>
        </w:tc>
        <w:tc>
          <w:tcPr>
            <w:tcW w:type="dxa" w:w="3672"/>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Fixed spatial dimensions</w:t>
            </w:r>
          </w:p>
        </w:tc>
      </w:tr>
      <w:tr>
        <w:trPr>
          <w:cantSplit/>
          <w:cantSplit/>
          <w:cantSplit/>
        </w:trPr>
        <w:tc>
          <w:tcPr>
            <w:tcW w:type="dxa" w:w="244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CLAHE</w:t>
            </w:r>
          </w:p>
        </w:tc>
        <w:tc>
          <w:tcPr>
            <w:tcW w:type="dxa" w:w="35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224 x 224 uint8 PNG</w:t>
            </w:r>
          </w:p>
        </w:tc>
        <w:tc>
          <w:tcPr>
            <w:tcW w:type="dxa" w:w="367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Local contrast adjustment</w:t>
            </w:r>
          </w:p>
        </w:tc>
      </w:tr>
      <w:tr>
        <w:trPr>
          <w:cantSplit/>
          <w:cantSplit/>
          <w:cantSplit/>
        </w:trPr>
        <w:tc>
          <w:tcPr>
            <w:tcW w:type="dxa" w:w="2448"/>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Replication</w:t>
            </w:r>
          </w:p>
        </w:tc>
        <w:tc>
          <w:tcPr>
            <w:tcW w:type="dxa" w:w="3528"/>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224 x 224 x 3 PNG</w:t>
            </w:r>
          </w:p>
        </w:tc>
        <w:tc>
          <w:tcPr>
            <w:tcW w:type="dxa" w:w="3672"/>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Three identical channels</w:t>
            </w:r>
          </w:p>
        </w:tc>
      </w:tr>
      <w:tr>
        <w:trPr>
          <w:cantSplit/>
          <w:cantSplit/>
          <w:cantSplit/>
        </w:trPr>
        <w:tc>
          <w:tcPr>
            <w:tcW w:type="dxa" w:w="244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Intensity scaling</w:t>
            </w:r>
          </w:p>
        </w:tc>
        <w:tc>
          <w:tcPr>
            <w:tcW w:type="dxa" w:w="35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HWC float32 NPY</w:t>
            </w:r>
          </w:p>
        </w:tc>
        <w:tc>
          <w:tcPr>
            <w:tcW w:type="dxa" w:w="367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Pixel values divided by 255</w:t>
            </w:r>
          </w:p>
        </w:tc>
      </w:tr>
      <w:tr>
        <w:trPr>
          <w:cantSplit/>
          <w:cantSplit/>
          <w:cantSplit/>
        </w:trPr>
        <w:tc>
          <w:tcPr>
            <w:tcW w:type="dxa" w:w="2448"/>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Standardization</w:t>
            </w:r>
          </w:p>
        </w:tc>
        <w:tc>
          <w:tcPr>
            <w:tcW w:type="dxa" w:w="3528"/>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HWC float32 NPY</w:t>
            </w:r>
          </w:p>
        </w:tc>
        <w:tc>
          <w:tcPr>
            <w:tcW w:type="dxa" w:w="3672"/>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Fixed ImageNet mean and std</w:t>
            </w:r>
          </w:p>
        </w:tc>
      </w:tr>
      <w:tr>
        <w:trPr>
          <w:cantSplit/>
          <w:cantSplit/>
          <w:cantSplit/>
        </w:trPr>
        <w:tc>
          <w:tcPr>
            <w:tcW w:type="dxa" w:w="244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Final formatting</w:t>
            </w:r>
          </w:p>
        </w:tc>
        <w:tc>
          <w:tcPr>
            <w:tcW w:type="dxa" w:w="35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CHW float32 NPY</w:t>
            </w:r>
          </w:p>
        </w:tc>
        <w:tc>
          <w:tcPr>
            <w:tcW w:type="dxa" w:w="367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Shape 3 x 224 x 224</w:t>
            </w:r>
          </w:p>
        </w:tc>
      </w:tr>
    </w:tbl>
    <w:p>
      <w:pPr>
        <w:spacing w:after="0"/>
      </w:pPr>
    </w:p>
    <w:p>
      <w:r>
        <w:t>Resizing uses OpenCV INTER_AREA. CLAHE uses clipLimit=2.0 and tileGridSize=(8,8). The latter means a grid of 64 regions, not tiles that are eight pixels wide. Replication adds no new color information. The square resize can distort aspect ratio; there is no lung segmentation or automatic crop in this pipeline.</w:t>
      </w:r>
    </w:p>
    <w:p>
      <w:r>
        <w:t>Intensity scaling converts uint8 values to float32 and divides by 255. Standardization then subtracts the fixed ImageNet channel means [0.485, 0.456, 0.406] and divides by [0.229, 0.224, 0.225]. These statistics are not fitted on Shenzhen or estimated separately for each X-ray. Standardized values may be negative or exceed one.</w:t>
      </w:r>
    </w:p>
    <w:p>
      <w:r>
        <w:t>The channels are identical before standardization but differ afterwards because each channel uses different constants. For the documented training example, one resized pixel is 191, CLAHE changes it to 204, scaling produces 0.8, and standardization produces approximately [1.375546, 1.535714, 1.751111]. The final transpose changes their positions in memory, not their values.</w:t>
      </w:r>
    </w:p>
    <w:p>
      <w:r>
        <w:t>The final array contains 150,528 float32 values, or 602,112 data bytes before the NPY header. All 8,798 final NPY files occupy about 5.30 GB. NPY preserves numeric values and dtype; saving standardized arrays directly as ordinary PNG would clip or quantize them. Display previews reverse normalization for viewing.</w:t>
      </w:r>
    </w:p>
    <w:p>
      <w:r>
        <w:t>Every image was verified through every saved operation. Final arrays are finite, contiguous float32 with shape (3,224,224), and equal a fresh computation from the originals. These checks establish implementation correctness, not that CLAHE improves accuracy. A controlled ablation would be needed for that research claim.</w:t>
      </w:r>
    </w:p>
    <w:p>
      <w:r>
        <w:br w:type="page"/>
      </w:r>
    </w:p>
    <w:p>
      <w:pPr>
        <w:pStyle w:val="Heading1"/>
      </w:pPr>
      <w:r>
        <w:t>5 Current files and experimental limitations</w:t>
      </w:r>
    </w:p>
    <w:p>
      <w:pPr>
        <w:pStyle w:val="Heading2"/>
      </w:pPr>
      <w:r>
        <w:t>The verified project arrangement</w:t>
      </w:r>
    </w:p>
    <w:p>
      <w:pPr>
        <w:spacing w:after="160"/>
      </w:pPr>
      <w:r>
        <w:rPr>
          <w:rFonts w:ascii="DejaVu Sans Mono" w:hAnsi="DejaVu Sans Mono"/>
          <w:sz w:val="18"/>
        </w:rPr>
        <w:t>FINAL_PROJECT/</w:t>
      </w:r>
      <w:r>
        <w:rPr>
          <w:rFonts w:ascii="DejaVu Sans Mono" w:hAnsi="DejaVu Sans Mono"/>
          <w:sz w:val="18"/>
        </w:rPr>
        <w:br/>
        <w:t xml:space="preserve">  Datasets/                 original copied datasets</w:t>
      </w:r>
      <w:r>
        <w:rPr>
          <w:rFonts w:ascii="DejaVu Sans Mono" w:hAnsi="DejaVu Sans Mono"/>
          <w:sz w:val="18"/>
        </w:rPr>
        <w:br/>
        <w:t xml:space="preserve">  Preprocessing/            stage scripts and intermediate outputs</w:t>
      </w:r>
      <w:r>
        <w:rPr>
          <w:rFonts w:ascii="DejaVu Sans Mono" w:hAnsi="DejaVu Sans Mono"/>
          <w:sz w:val="18"/>
        </w:rPr>
        <w:br/>
        <w:t xml:space="preserve">  FINAL_DATASET/            canonical model input arrays</w:t>
      </w:r>
      <w:r>
        <w:rPr>
          <w:rFonts w:ascii="DejaVu Sans Mono" w:hAnsi="DejaVu Sans Mono"/>
          <w:sz w:val="18"/>
        </w:rPr>
        <w:br/>
        <w:t xml:space="preserve">    train/Normal/ and train/Tuberculosis/</w:t>
      </w:r>
      <w:r>
        <w:rPr>
          <w:rFonts w:ascii="DejaVu Sans Mono" w:hAnsi="DejaVu Sans Mono"/>
          <w:sz w:val="18"/>
        </w:rPr>
        <w:br/>
        <w:t xml:space="preserve">    val/Normal/ and val/Tuberculosis/</w:t>
      </w:r>
      <w:r>
        <w:rPr>
          <w:rFonts w:ascii="DejaVu Sans Mono" w:hAnsi="DejaVu Sans Mono"/>
          <w:sz w:val="18"/>
        </w:rPr>
        <w:br/>
        <w:t xml:space="preserve">    test/Normal/ and test/Tuberculosis/</w:t>
      </w:r>
      <w:r>
        <w:rPr>
          <w:rFonts w:ascii="DejaVu Sans Mono" w:hAnsi="DejaVu Sans Mono"/>
          <w:sz w:val="18"/>
        </w:rPr>
        <w:br/>
        <w:t xml:space="preserve">  Training/                 reserved for the next phase</w:t>
      </w:r>
    </w:p>
    <w:p>
      <w:r>
        <w:t>Moving intermediate folders changes their paths. Their manifests and cleaned-image links were repaired for the new layout. The canonical root-level FINAL_DATASET manifest was kept unchanged. An additional copy under Preprocessing/FINAL_DATASET was found and preserved; it is not the designated training input. The code should read one manifest, not recursively scan both copies and double-count images.</w:t>
      </w:r>
    </w:p>
    <w:p>
      <w:r>
        <w:t>A manifest is the CSV inventory tying each image ID to its class, source, subtype, patient group, original path, split, pixel hash and stage file path. Paths resolve from FINAL_PROJECT. Cleaned images are symbolic links to originals; later stages contain saved files. Reading the manifest avoids relying on filesystem ordering to align images and labels.</w:t>
      </w:r>
    </w:p>
    <w:p>
      <w:pPr>
        <w:pStyle w:val="Heading2"/>
      </w:pPr>
      <w:r>
        <w:t>Class imbalance and source effects</w:t>
      </w:r>
    </w:p>
    <w:p>
      <w:r>
        <w:t>Training has 5,579 Normal and 929 TB examples, approximately 85.7% versus 14.3%. Validation has similar imbalance. An always-Normal prediction would achieve 85.69% validation accuracy. Shenzhen is much more balanced, with 336 TB cases out of 662. Precision, recall, F1, AUC and confusion matrices must accompany accuracy. The earlier loss was unweighted; no class balancing is implied by the split.</w:t>
      </w:r>
    </w:p>
    <w:p>
      <w:r>
        <w:t>Multiple sources increase variety, but a model may learn source cues such as borders, text, image processing or acquisition differences. Global pooled metrics can hide weak performance on a small source. Complete patient metadata and all transformed duplicates are unavailable, and heterogeneous labels limit clinical interpretation. No clinician relabeling, prospective evaluation or clinical validation is claimed.</w:t>
      </w:r>
    </w:p>
    <w:p>
      <w:pPr>
        <w:pStyle w:val="Heading2"/>
      </w:pPr>
      <w:r>
        <w:t>The status of Shenzhen</w:t>
      </w:r>
    </w:p>
    <w:p>
      <w:r>
        <w:t>Shenzhen was excluded from learning and checkpoint selection in the earlier experiment, but its final performance has already been measured. Reorganizing files or starting a new folder does not make it unseen again. New training choices influenced by those test results would require a new independent test set for an unbiased new final claim. Deterministic preprocessing of test images is not itself model training.</w:t>
      </w:r>
    </w:p>
    <w:p>
      <w:r>
        <w:br w:type="page"/>
      </w:r>
    </w:p>
    <w:p>
      <w:pPr>
        <w:pStyle w:val="Heading1"/>
      </w:pPr>
      <w:r>
        <w:t>6 Dataset viva questions and evidence</w:t>
      </w:r>
    </w:p>
    <w:p>
      <w:pPr>
        <w:keepNext/>
      </w:pPr>
      <w:r>
        <w:rPr>
          <w:b/>
        </w:rPr>
        <w:t>Was the split 80 10 10?</w:t>
      </w:r>
    </w:p>
    <w:p>
      <w:r>
        <w:t>No. About 80/20 applies to the 8,136-image development pool; all 662 Shenzhen images form a separate source-held-out test set.</w:t>
      </w:r>
    </w:p>
    <w:p>
      <w:pPr>
        <w:keepNext/>
      </w:pPr>
      <w:r>
        <w:rPr>
          <w:b/>
        </w:rPr>
        <w:t>Did each source contribute to every split?</w:t>
      </w:r>
    </w:p>
    <w:p>
      <w:r>
        <w:t>TBX, cleaned Kaggle and Montgomery contribute to train and validation. Shenzhen contributes only to test. The same image is not intentionally placed in multiple splits.</w:t>
      </w:r>
    </w:p>
    <w:p>
      <w:pPr>
        <w:keepNext/>
      </w:pPr>
      <w:r>
        <w:rPr>
          <w:b/>
        </w:rPr>
        <w:t>Why were sick but non TB images excluded?</w:t>
      </w:r>
    </w:p>
    <w:p>
      <w:r>
        <w:t>The defined task is Normal versus dataset-labeled TB. Including other diseases as Normal would change the meaning of the negative class. A broader TB-versus-all-other-diseases task would require a different protocol.</w:t>
      </w:r>
    </w:p>
    <w:p>
      <w:pPr>
        <w:keepNext/>
      </w:pPr>
      <w:r>
        <w:rPr>
          <w:b/>
        </w:rPr>
        <w:t>Why not use the unlabeled TBX test images as Normal?</w:t>
      </w:r>
    </w:p>
    <w:p>
      <w:r>
        <w:t>An absent annotation supplies no evidence of Normal status. Such a rule would create unsupported labels and contaminate training.</w:t>
      </w:r>
    </w:p>
    <w:p>
      <w:pPr>
        <w:keepNext/>
      </w:pPr>
      <w:r>
        <w:rPr>
          <w:b/>
        </w:rPr>
        <w:t>Does the hash prove there are no duplicates?</w:t>
      </w:r>
    </w:p>
    <w:p>
      <w:r>
        <w:t>It proves equality for matching decoded grayscale pixels and dimensions. It cannot establish absence of all transformed near-duplicates or all repeated patients.</w:t>
      </w:r>
    </w:p>
    <w:p>
      <w:pPr>
        <w:keepNext/>
      </w:pPr>
      <w:r>
        <w:rPr>
          <w:b/>
        </w:rPr>
        <w:t>Is this five fold cross validation?</w:t>
      </w:r>
    </w:p>
    <w:p>
      <w:r>
        <w:t>No. One of five grouped folds supplies validation; only that one partition was used. There were not five rotating train/validation experiments.</w:t>
      </w:r>
    </w:p>
    <w:p>
      <w:pPr>
        <w:keepNext/>
      </w:pPr>
      <w:r>
        <w:rPr>
          <w:b/>
        </w:rPr>
        <w:t>Why do normalized images look unchanged in the preview?</w:t>
      </w:r>
    </w:p>
    <w:p>
      <w:r>
        <w:t>The numerical arrays are reversed to display intensities for viewing. Scaling and standardization alter the representation; they do not add another contrast enhancement.</w:t>
      </w:r>
    </w:p>
    <w:p>
      <w:pPr>
        <w:keepNext/>
      </w:pPr>
      <w:r>
        <w:rPr>
          <w:b/>
        </w:rPr>
        <w:t>Can we claim the dataset diagnoses active TB?</w:t>
      </w:r>
    </w:p>
    <w:p>
      <w:r>
        <w:t>No. The positive endpoint follows heterogeneous source labels. This supports a research classifier for dataset-labeled TB, not a uniform confirmed-active-disease diagnosis.</w:t>
      </w:r>
    </w:p>
    <w:p>
      <w:pPr>
        <w:pStyle w:val="Heading2"/>
      </w:pPr>
      <w:r>
        <w:t>Evidence to open during the viva</w:t>
      </w:r>
    </w:p>
    <w:p>
      <w:r>
        <w:t>FINAL_DATASET/manifest.csv; Preprocessing/CLEANED_DATASET/audit.json and excluded.csv; VERIFICATION_REPORT.json; RELOCATION_CHECK.json; PIXEL_WALKTHROUGH.json; and Preprocessing/PREPROCESSING_PREVIEW.png. The implemented split is in Preprocessing/01_clean_and_split.py. These are stronger evidence for our actual counts and rules than generic dataset descriptions.</w:t>
      </w:r>
    </w:p>
    <w:p>
      <w:r>
        <w:t>Method reference: scikit-learn StratifiedGroupKFold documentation explains preserving groups while approximating class proportions: https://scikit-learn.org/stable/modules/generated/sklearn.model_selection.StratifiedGroupKFold.html. This project additionally stratifies the combined source/class label.</w:t>
      </w:r>
    </w:p>
    <w:sectPr w:rsidR="00FC693F" w:rsidRPr="0006063C" w:rsidSect="00034616">
      <w:footerReference w:type="default" r:id="rId9"/>
      <w:pgSz w:w="11909" w:h="16834"/>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Dataset preparation and splitting</dc:title>
  <dc:subject>Final year project viva preparation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