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left"/>
      </w:pPr>
      <w:r>
        <w:rPr>
          <w:rFonts w:ascii="Calibri" w:hAnsi="Calibri"/>
          <w:b/>
          <w:color w:val="000000"/>
          <w:sz w:val="32"/>
        </w:rPr>
        <w:t>CAF-myeloid stromal cores mark inflammatory and tumor-aggressive spatial programs in pancreatic cancer</w:t>
      </w:r>
    </w:p>
    <w:p>
      <w:pPr>
        <w:jc w:val="both"/>
      </w:pPr>
      <w:r>
        <w:t>Zhifeng Zhao1#; Tianran Tang2#; Mingyu Gu3#; Xichi Chen1; Changle Wu1; Haoyu Wu1; Jun Han1*; Kai Jiang1*</w:t>
      </w:r>
    </w:p>
    <w:p>
      <w:pPr>
        <w:jc w:val="both"/>
      </w:pPr>
      <w:r>
        <w:t>1 Faculty of Hepato-Pancreato-Biliary Surgery, the First Medical Center, Chinese PLA General Hospital, Beijing, China.</w:t>
      </w:r>
    </w:p>
    <w:p>
      <w:pPr>
        <w:jc w:val="both"/>
      </w:pPr>
      <w:r>
        <w:t>2 Department of Rehabilitation Medicine, the Second Medical Center &amp; National Clinical Research Center for Geriatric Diseases, Chinese PLA General Hospital, Beijing, China.</w:t>
      </w:r>
    </w:p>
    <w:p>
      <w:pPr>
        <w:jc w:val="both"/>
      </w:pPr>
      <w:r>
        <w:t>3 Senior Department of General Surgery, Chinese PLA General Hospital, Beijing, China.</w:t>
      </w:r>
    </w:p>
    <w:p>
      <w:pPr>
        <w:jc w:val="both"/>
      </w:pPr>
      <w:r>
        <w:t>*Corresponding authors: Kai Jiang, Faculty of Hepato-Pancreato-Biliary Surgery, the First Medical Center, Chinese PLA General Hospital, Beijing, China. Email: jiangk301@126.com; Jun Han, Faculty of Hepato-Pancreato-Biliary Surgery, the First Medical Center, Chinese PLA General Hospital, Beijing, China. Email: hanjunhj90@163.com.</w:t>
      </w:r>
    </w:p>
    <w:p>
      <w:pPr>
        <w:jc w:val="both"/>
      </w:pPr>
      <w:r>
        <w:t>#These authors contributed equally: Zhifeng Zhao, Tianran Tang and Mingyu Gu.</w:t>
      </w:r>
    </w:p>
    <w:p>
      <w:pPr>
        <w:pStyle w:val="Heading1"/>
      </w:pPr>
      <w:r>
        <w:t>Abstract</w:t>
      </w:r>
    </w:p>
    <w:p>
      <w:pPr>
        <w:jc w:val="both"/>
      </w:pPr>
      <w:r>
        <w:t>Pancreatic ductal adenocarcinoma (PDAC) contains intertwined stromal, myeloid, lymphoid and epithelial tumor programs, but whether these programs form reproducible tissue architectures remains incompletely resolved. Here we re-analyzed public spatial transcriptomic, H&amp;E, Visium, Xenium, reference single-cell and TCGA bulk datasets across primary and metastatic PDAC. Using within-sample CAF-myeloid spatial cores and matched random-core controls, we found that IFN/MHC, immune-core and tumor-aggressive programs were recurrently enriched near CAF-myeloid cores across discovery and validation cohorts. Robustness analyses using spatially contiguous null cores, core-threshold perturbation, anchor-component dissection and marker-overlap controls supported a CAF-dominant, myeloid-enriched stromal architecture rather than a generic high-expression artifact. Primary tumors and liver metastases reproduced this architecture, whereas a five-sample lymph-node metastasis subset showed more consistent stromal-tumor CAF coupling than immune/IFN coupling to the CAF core. Cell-state attribution, reference projection, strict NNLS deconvolution and targeted-panel Xenium validation supported myCAF/matrix and SPP1/TAM-rich CAF-core states. Interface and mechanism-triangulation analyses prioritized matrix-integrin and SPP1-CD44/integrin as co-leading perturbation-priority candidate axes. These results define a reproducible CAF-myeloid spatial architecture in PDAC and suggest that metastatic site is associated with selective immune remodeling around this stromal-myeloid scaffold, while requiring orthogonal and perturbational validation.</w:t>
      </w:r>
    </w:p>
    <w:p>
      <w:pPr>
        <w:pStyle w:val="Heading1"/>
      </w:pPr>
      <w:r>
        <w:t>Introduction</w:t>
      </w:r>
    </w:p>
    <w:p>
      <w:pPr>
        <w:jc w:val="both"/>
      </w:pPr>
      <w:r>
        <w:t>PDAC is shaped by a fibrotic and immune-rich microenvironment. Cancer-associated fibroblasts, myeloid cells, lymphoid populations and epithelial tumor states can all influence disease biology, but their spatial relationships are difficult to infer from dissociated data. Spatial transcriptomics provides an opportunity to test whether these programs form reproducible multicellular neighborhoods in tissue.</w:t>
      </w:r>
    </w:p>
    <w:p>
      <w:pPr>
        <w:jc w:val="both"/>
      </w:pPr>
      <w:r>
        <w:t>Many spatial studies describe regional enrichment or cell-type abundance. A stronger niche claim requires a more specific test. We use the term spatial core in a statistical sense: a within-sample high-score tissue region whose associated target-program gradients exceed matched null regions of comparable size and spatial structure. This definition does not imply causal organization by itself, but provides a controlled framework for testing whether stromal-myeloid domains mark reproducible tissue architectures. The conclusion should also remain stable when the core definition and spatial null model are perturbed.</w:t>
      </w:r>
    </w:p>
    <w:p>
      <w:pPr>
        <w:jc w:val="both"/>
      </w:pPr>
      <w:r>
        <w:t>Here we tested whether CAF-myeloid-rich regions define spatial-statistical cores in public PDAC ST-H&amp;E cohorts. We defined CAF-myeloid cores within each sample, compared their gradients with random and spatially contiguous same-size cores, and tested sensitivity to core size, anchor composition and marker overlap. We then asked whether this architecture generalized in independent primary/metastatic Visium data and whether metastatic site changed immune coupling to the CAF core. Finally, we decomposed CAF-core ecotypes, connected candidate axes to marker-level, reference-projection, strict NNLS and Xenium support, and used cell-neighborhood structure, core-to-interface transitions and CAF-core geometry to sharpen the tissue-architecture model.</w:t>
      </w:r>
    </w:p>
    <w:p>
      <w:pPr>
        <w:pStyle w:val="Heading1"/>
      </w:pPr>
      <w:r>
        <w:t>Results</w:t>
      </w:r>
    </w:p>
    <w:p>
      <w:pPr>
        <w:pStyle w:val="Heading2"/>
      </w:pPr>
      <w:r>
        <w:t>CAF-myeloid cores define a reproducible spatial architecture in PDAC</w:t>
      </w:r>
    </w:p>
    <w:p>
      <w:pPr>
        <w:jc w:val="both"/>
      </w:pPr>
      <w:r>
        <w:t>We first tested whether CAF-myeloid-high regions behave as spatial-statistical cores rather than arbitrary stromal-rich areas. We assembled a public PDAC spatial transcriptomics resource spanning discovery, validation and cell-resolution datasets (Fig. 1a). The discovery and support layer included 108 post-neoadjuvant GSE282302 sections, five treatment-naive GSE274103 sections and a seven-sample GSE235315 paired-ST anchor. For every spot, we scored CAF-myeloid, IFN/MHC antigen-presentation, immune-core, tumor-aggressive and immune-maturity-like programs. Within each sample, the primary CAF-myeloid core was defined as the top 10% of spots by CAF-myeloid score, and target-program gradients were quantified by Spearman correlation between target score and normalized distance to the nearest CAF-core spot. Negative correlations indicate enrichment near the CAF core.</w:t>
      </w:r>
    </w:p>
    <w:p>
      <w:pPr>
        <w:jc w:val="both"/>
      </w:pPr>
      <w:r>
        <w:t>This design created a direct test of spatial specificity. In GSE282302, observed CAF-myeloid cores were more strongly associated with IFN/MHC, immune-core and tumor-aggressive gradients than 1,000 same-size random cores in 93/108, 87/108 and 94/108 sections, respectively (Fig. 1b). The treatment-naive GSE274103 cohort showed the same direction in all five sections, and GSE235315 reproduced the pattern for IFN/MHC in 7/7 samples, tumor-aggressive programs in 6/7 samples and immune-core programs in 5/7 samples. Repeating the analysis with top 15%, top 10% and top 5% CAF-myeloid cores preserved directionally negative target-program gradients, showing that the conclusion was not tied to one percentile threshold (Fig. 1c).</w:t>
      </w:r>
    </w:p>
    <w:p>
      <w:pPr>
        <w:jc w:val="both"/>
      </w:pPr>
      <w:r>
        <w:t>We then strengthened the null model. Across 205 spatial samples, we generated 1,000 same-size spatially contiguous random cores per sample by nearest-neighbor expansion from random seed spots. CAF-myeloid cores retained stronger target-program centering than these contiguous tissue controls in the dominant primary and liver-metastasis contexts, including IFN/MHC, immune-core and tumor-aggressive programs in most GSE282302 sections and primary/liver GSE272362 specimens (Supplementary Table 4). Alternative-anchor and marker-overlap sensitivity analyses further narrowed the interpretation: the combined CAF-myeloid anchor provided a broad stromal-myeloid reference but was not universally strongest; myeloid-only anchors better centered IFN/MHC, immune-core and SPP1/TAM programs, whereas CAF-only or combined anchors better captured TGF-beta/EMT gradients (Supplementary Table 4B). The IFN/MHC, immune-core, tumor-aggressive and TGF-beta/EMT target modules also shared no genes with the CAF-myeloid core definition, supporting that these gradients were not direct marker-overlap artifacts (Supplementary Table 5).</w:t>
      </w:r>
    </w:p>
    <w:p>
      <w:pPr>
        <w:jc w:val="both"/>
      </w:pPr>
      <w:r>
        <w:t>Representative same-size random-core null intervals, distance-bin summaries and H&amp;E overlays made the statistical result inspectable (Fig. 1d-j and Extended Data Fig. 1). Together, these analyses support a spatially specific CAF-myeloid architecture in PDAC while keeping the claim observational: CAF-myeloid cores mark structured tissue regions; they do not establish causality, clinical prediction or mature tertiary lymphoid structure formation.</w:t>
      </w:r>
    </w:p>
    <w:p>
      <w:pPr>
        <w:pStyle w:val="Heading2"/>
      </w:pPr>
      <w:r>
        <w:t>Metastatic-site remodeling suggests lymph-node immune decoupling</w:t>
      </w:r>
    </w:p>
    <w:p>
      <w:pPr>
        <w:jc w:val="both"/>
      </w:pPr>
      <w:r>
        <w:t xml:space="preserve">We next asked whether the CAF-core architecture persisted in metastatic PDAC and whether metastatic site changed its immune coupling. For GSE272362, specimen-site labels were derived from the RDS </w:t>
      </w:r>
      <w:r>
        <w:rPr>
          <w:rFonts w:ascii="Consolas" w:hAnsi="Consolas"/>
          <w:sz w:val="20"/>
        </w:rPr>
        <w:t>Origin</w:t>
      </w:r>
      <w:r>
        <w:t xml:space="preserve"> metadata field and audited against GEO, the linked Nature Genetics article, the Zenodo record and local sample counts. The final analysis included 91,496 spots across 30 specimens: 10 primary tumors, 12 liver metastases, five lymph-node metastases and three normal pancreas samples (Fig. 2a).</w:t>
      </w:r>
    </w:p>
    <w:p>
      <w:pPr>
        <w:jc w:val="both"/>
      </w:pPr>
      <w:r>
        <w:t>Primary tumors and liver metastases reproduced the discovery pattern. Observed CAF-myeloid cores exceeded matched random cores in 9/10 primary tumors for IFN/MHC, 9/10 for immune-core and 10/10 for tumor-aggressive programs; liver metastases supported IFN/MHC and immune-core CAF-core organization in 12/12 samples and tumor-aggressive organization in 11/12 samples (Fig. 2b). The five lymph-node metastasis samples formed the key exploratory contrast. Tumor-aggressive gradients were more consistently CAF-core associated than immune/IFN gradients, whereas IFN/MHC and immune-core programs were more CAF-core centered than random cores in only 2/5 samples each. Thus, this small subset suggests altered immune organization while retaining more consistent stromal-tumor than immune coupling.</w:t>
      </w:r>
    </w:p>
    <w:p>
      <w:pPr>
        <w:jc w:val="both"/>
      </w:pPr>
      <w:r>
        <w:t>Subprogram decomposition supported this interpretation. Across primary tumors, liver metastases and lymph-node metastases, myCAF, myeloid, SPP1/TREM2 TAM, TGF-beta, EMT/invasion and tumor-aggressive programs remained enriched nearer to CAF cores (Fig. 2c). In lymph-node metastases, however, IFN/MHC, immune-core, T-cell, B-cell and DC/APC programs shifted away from CAF-core-centered organization. The immune-decoupling index, defined as stromal-tumor CAF-core enrichment minus immune CAF-core enrichment, was highest in lymph-node metastases (Fig. 2d).</w:t>
      </w:r>
    </w:p>
    <w:p>
      <w:pPr>
        <w:jc w:val="both"/>
      </w:pPr>
      <w:r>
        <w:t>Large tissue-level overlays showed the same contrast visually: primary tumor and liver-metastasis examples had broad concordance between CAF cores, IFN/MHC, tumor-aggressive and immune-core programs, whereas the lymph-node-metastasis example showed tumor-aggressive CAF association with immune-rich regions that were not simply centered on CAF-myeloid cores (Fig. 2e-p and Extended Data Fig. 2). We therefore displayed all five lymph-node metastasis samples as H&amp;E-anchored individual maps, ordered by immune-decoupling index (Extended Data Fig. 8). Leave-one-out analysis preserved more consistent negative tumor-aggressive CAF-core coupling than IFN/MHC or immune-core coupling, but the immune programs were weaker and more sample-sensitive (Supplementary Table 6). Because this subset contained only five samples and included heterogeneous per-sample patterns, these data support lymph-node immune decoupling as a hypothesis-generating metastatic-site lead rather than a definitive metastatic subtype.</w:t>
      </w:r>
    </w:p>
    <w:p>
      <w:pPr>
        <w:pStyle w:val="Heading2"/>
      </w:pPr>
      <w:r>
        <w:t>Cell-state and interface analyses nominate CAF-core biological axes</w:t>
      </w:r>
    </w:p>
    <w:p>
      <w:pPr>
        <w:jc w:val="both"/>
      </w:pPr>
      <w:r>
        <w:t>We then asked what biological states were encoded by the CAF-core architecture. Non-negative matrix factorization of CAF-core program enrichment across 143 sections/specimens identified four recurrent CAF-core ecotype programs annotated by dominant loadings rather than treated as absolute tissue subtypes (Fig. 3a). These included basal-like/tumor-aggressive, lymphoid/plasma, IFN/APC and EMT-myCAF/TGF-beta-associated states. Rank-sensitivity analysis across ranks 2-8, using 50 randomized NNDSVDar starts per rank plus an NNDSVDa reference fit, supported rank 4 as a stable and interpretable working resolution: rank 4 explained 0.980 of the non-negative feature matrix, with adjusted Rand index 0.993, PAC 0.012 and component cosine reproducibility 1.000 (Supplementary Table 7 and Extended Data Fig. 7).</w:t>
      </w:r>
    </w:p>
    <w:p>
      <w:pPr>
        <w:jc w:val="both"/>
      </w:pPr>
      <w:r>
        <w:t>Ecotype composition varied by context (Fig. 3b,c). Primary tumors and liver metastases were enriched for immune-associated CAF-core states, whereas lymph-node metastases included a larger fraction of EMT-myCAF or basal/tumor-aggressive states, consistent with the immune-decoupling result (Fig. 3d). Candidate-axis analysis then connected these ecotypes to interpretable biology. SPP1/TAM-matrix and TGF-beta/EMT invasive axes were recurrently enriched in CAF cores and tumor-stroma interfaces (Fig. 3e), while candidate-axis correlations separated immune-coupled and immune-decoupled contexts: TGF-beta/EMT invasive CAF-core enrichment correlated positively with immune decoupling across 150 samples (Spearman rho 0.462), whereas IFN/APC antigen, B/plasma lymphoid and T-cell/checkpoint axes correlated negatively (rho -0.662, -0.639 and -0.601; Fig. 3f). Representative interface maps showed these compartments in primary, liver-metastatic and lymph-node-metastatic sections (Fig. 3g-r).</w:t>
      </w:r>
    </w:p>
    <w:p>
      <w:pPr>
        <w:jc w:val="both"/>
      </w:pPr>
      <w:r>
        <w:t>Targeted-gene, marker-attribution and reference-projection analyses supported this interpretation while preserving its computational boundary. SPP1/TAM-matrix and TGF-beta/EMT genes were enriched in CAF cores across post-neoadjuvant sections, treatment-naive primary tumors, GSE272362 primary tumors, liver metastases and lymph-node metastases; IFN/APC antigen and T-cell/checkpoint genes were strong in primary and liver-metastasis CAF cores but attenuated in lymph-node metastasis CAF cores (Extended Data Fig. 4). Marker-level cell-state attribution and GSE202051 reference projection showed consistent myCAF/matrix and SPP1/TAM enrichment in CAF cores, whereas immune decoupling correlated negatively with T/NK, DC/APC and B/plasma CAF-core projection enrichment and positively with myCAF/matrix projection enrichment (Extended Data Fig. 3). Strict per-spot non-negative least-squares sensitivity reproduced these directions. These projections support cell-state interpretation but are not single-cell-resolved spatial ground truth.</w:t>
      </w:r>
    </w:p>
    <w:p>
      <w:pPr>
        <w:jc w:val="both"/>
      </w:pPr>
      <w:r>
        <w:t>The same candidate axes were then used to prioritize follow-up biology, not to claim mechanism proof. Focused mechanism-support analyses nominated matrix-integrin, SPP1-CD44/integrin and TGF-beta/TGFBR axes, with matrix-integrin showing the clearest association with immune decoupling (rho 0.324; Extended Data Fig. 4). A seven-layer mechanism-triangulation analysis ranked matrix-integrin and SPP1-CD44/integrin as co-leading perturbation-priority candidates; the scoring rules and thresholds are provided in Supplementary Table 8. Core-to-interface transition and CAF-core geometry analyses further showed that SPP1/TAM, TGF-beta/EMT, IFN/APC and CAF/myCAF programs were highest near the CAF-core end of a pseudo-spatial axis, and that less fragmented cores and larger dominant CAF-core components were associated with stronger stromal-tumor coupling (Extended Data Fig. 6). These analyses deepen the interface model while requiring perturbation for causal inference.</w:t>
      </w:r>
    </w:p>
    <w:p>
      <w:pPr>
        <w:pStyle w:val="Heading2"/>
      </w:pPr>
      <w:r>
        <w:t>Independent validation and pathology context bound the model</w:t>
      </w:r>
    </w:p>
    <w:p>
      <w:pPr>
        <w:jc w:val="both"/>
      </w:pPr>
      <w:r>
        <w:t>We next tested whether the architecture generalized outside the original discovery and validation datasets. In 55 non-PDX Visium sections from the Nature 2025 metastatic PDAC atlas GSE274557, CAF-core-centered organization of IFN/MHC, immune-core, SPP1/TAM and TGF-beta/EMT programs was reproduced across primary, liver-metastatic, lung-metastatic and peritoneal-metastatic contexts (Fig. 4a,b and Extended Data Fig. 1). CAF-core tumor-aggressive coupling was present in most primary, liver and peritoneal sections but weaker in lung metastases, supporting site-specific variation rather than uniform failure. Because GSE274557 did not include lymph-node metastases in the analyzed Visium set, it validates broad metastatic CAF-core organization but not lymph-node-specific immune decoupling.</w:t>
      </w:r>
    </w:p>
    <w:p>
      <w:pPr>
        <w:jc w:val="both"/>
      </w:pPr>
      <w:r>
        <w:t>At cell resolution, six GSE274673 Xenium PDAC sections supported a related CAF-domain pattern. Fixed CAF-APC and CAF-SPP1/TAM expression-domain anchors centered SPP1/TAM, IFN/APC and T/NK programs in 6/6 sections, and TGF-beta/EMT in 5/6 or 6/6 sections depending on anchor definition (Fig. 4c,d and Extended Data Fig. 3). Representative cell-level maps made these domains visually inspectable in treatment-naive and chemoradiotherapy-treated sections (Fig. 4e-l). Neighborhood analyses showed enrichment of CAF/matrix, SPP1/TAM, IFN/APC and T/NK states around CAF-domain anchors and depletion of tumor epithelial states relative to matched random neighborhoods (Extended Data Fig. 6). These data support targeted-panel, cell-resolution CAF-domain organization, not whole-transcriptome cell-state abundance or direct cell-cell signaling.</w:t>
      </w:r>
    </w:p>
    <w:p>
      <w:pPr>
        <w:jc w:val="both"/>
      </w:pPr>
      <w:r>
        <w:t>Finally, H&amp;E, TCGA and TLS analyses placed the spatial model in a broader but bounded context. H&amp;E patch features extracted around 289,225 analysis-eligible spots in GSE282302 and GSE274103 recovered the CAF-myeloid program most strongly in grouped held-out cross-validation (Spearman rho 0.421), with weaker but above-shuffle performance for tumor-aggressive, IFN/MHC and immune-core programs (Extended Data Fig. 5). TCGA PAAD bulk data supported broader tumor-microenvironment variation consistent with nominated stromal-myeloid and matrix axes, but remained non-spatial and exploratory. TLS-maturity stress testing showed that some CAF-core regions had immune-hub-like features, but only 16/198 samples passed a stricter multi-compartment TLS-compatible gate. These analyses sharpen the model's translational and claim boundaries: they support morphology-associated and bulk-context plausibility, not clinical-grade H&amp;E prediction, spatial TCGA validation, mature TLS biology or causal signaling.</w:t>
      </w:r>
    </w:p>
    <w:p>
      <w:pPr>
        <w:pStyle w:val="Heading1"/>
      </w:pPr>
      <w:r>
        <w:t>Discussion</w:t>
      </w:r>
    </w:p>
    <w:p>
      <w:pPr>
        <w:jc w:val="both"/>
      </w:pPr>
      <w:r>
        <w:t>This study identifies a reproducible spatial architecture in PDAC: CAF-myeloid stromal cores around which inflammatory, immune-core and tumor-aggressive programs are enriched. The result is supported by same-sample random-core nulls, spatially contiguous random-core controls, threshold perturbation, distance-gradient dynamics, independent primary/metastatic validation, external GSE274557 Visium validation and GSE274673 Xenium cell-resolution support. Anchor-component and marker-overlap sensitivity analyses further argue that this is a structured tissue-architecture signal rather than a generic high-expression compartment or direct gene-set-overlap artifact. These layers make the core claim stronger than a representative overlay, a single percentile definition or a platform-specific observation.</w:t>
      </w:r>
    </w:p>
    <w:p>
      <w:pPr>
        <w:jc w:val="both"/>
      </w:pPr>
      <w:r>
        <w:t>Conceptually, this study shifts the interpretation of PDAC stroma from abundance-based descriptions toward spatial scaffold-based organization. Rather than treating CAF, myeloid and immune programs as independent regional enrichments, the CAF-myeloid core framework provides a within-sample, null-controlled way to ask whether stromal-myeloid domains mark reproducible inflammatory and tumor-aggressive tissue architectures across disease contexts. This framework may be useful for separating spatially coupled stromal-immune states from immune-decoupled metastatic contexts in future spatial and perturbational studies.</w:t>
      </w:r>
    </w:p>
    <w:p>
      <w:pPr>
        <w:jc w:val="both"/>
      </w:pPr>
      <w:r>
        <w:t>The main biological contrast emerges in metastasis. Primary tumors and liver metastases reproduce CAF-core-centered inflammatory and tumor-aggressive architecture. The five-sample lymph-node metastasis subset preserves CAF-associated tumor-aggressive and stromal-myeloid programs while showing weaker and more sample-sensitive immune/IFN coupling to the CAF core. This pattern suggests that lymph-node tissue context may mark immune spatial reorganization without erasing the underlying CAF-tumor stromal scaffold, but it should be treated as a hypothesis-generating lead.</w:t>
      </w:r>
    </w:p>
    <w:p>
      <w:pPr>
        <w:jc w:val="both"/>
      </w:pPr>
      <w:r>
        <w:t>The ecotype and candidate-axis analyses turn this architecture into a testable mechanism agenda. CAF cores resolve into recurrent spatial enrichment patterns at a stable rank-4 working resolution, and SPP1/TAM-matrix plus TGF-beta/EMT programs mark persistent stromal-myeloid and invasive-interface states. Marker-level attribution, GSE202051 reference projection, strict NNLS sensitivity and Xenium support reduce the risk that these states are only module-score abstractions. Mechanism triangulation ranks matrix-integrin and SPP1-CD44/integrin as the leading perturbation-ready interface candidates. This is more specific than a broad ligand-receptor inventory, but it remains a prioritized experimental agenda rather than proof of causal signaling.</w:t>
      </w:r>
    </w:p>
    <w:p>
      <w:pPr>
        <w:jc w:val="both"/>
      </w:pPr>
      <w:r>
        <w:t>The clinical and TLS analyses sharpen the scope of the study rather than redirecting it. TCGA PAAD bulk data place nominated matrix/stromal-myeloid axes in a broader adverse clinical context, with matrix-integrin showing the strongest exploratory survival association. Because TCGA is non-spatial and the survival analysis is univariable, these data should not be read as clinical validation or a prognostic model. Similarly, TLS-maturity stress testing shows that immune-hub features occur in some CAF-core regions, but only a minority of samples pass a stringent multi-compartment TLS-maturity gate. TLS-related chemokine or lymphoid signals are therefore best interpreted as immune-hub features within the CAF-myeloid niche unless histologic TLS architecture, FDC networks or germinal-center maturation are orthogonally validated.</w:t>
      </w:r>
    </w:p>
    <w:p>
      <w:pPr>
        <w:jc w:val="both"/>
      </w:pPr>
      <w:r>
        <w:t>Several additional boundaries remain important. The H&amp;E morphology analysis is an exploratory pathology bridge, not a clinical-grade image-only predictor. GSE202051 projection supports cell-state interpretation but is not single-cell-resolved spatial deconvolution. Program-defined compartments and interface maps are expression-derived visualizations, not formal pathology annotations. GSE235315 is used as an external spatial-state anchor until its sample metadata are fully audited. Within these boundaries, the strongest conclusion is that PDAC contains reproducible CAF-myeloid stromal cores that mark inflammatory and tumor-aggressive spatial programs, while metastatic site is associated with selective immune remodeling around this stromal-myeloid scaffold.</w:t>
      </w:r>
    </w:p>
    <w:p>
      <w:pPr>
        <w:pStyle w:val="Heading1"/>
      </w:pPr>
      <w:r>
        <w:t>Methods</w:t>
      </w:r>
    </w:p>
    <w:p>
      <w:pPr>
        <w:pStyle w:val="Heading2"/>
      </w:pPr>
      <w:r>
        <w:t>Study design and data sources</w:t>
      </w:r>
    </w:p>
    <w:p>
      <w:pPr>
        <w:jc w:val="both"/>
      </w:pPr>
      <w:r>
        <w:t xml:space="preserve">We analyzed public Visium spatial transcriptomics datasets from PDAC and matched tissue images. The discovery cohort was GSE282302, comprising 108 post-neoadjuvant PDAC ST-H&amp;E sections. GSE274103 contributed five treatment-naive PDAC ST-H&amp;E sections. Independent primary/metastatic validation used GSE272362, a spatial transcriptomic atlas linked to a Nature Genetics study and Zenodo record </w:t>
      </w:r>
      <w:r>
        <w:rPr>
          <w:rFonts w:ascii="Consolas" w:hAnsi="Consolas"/>
          <w:sz w:val="20"/>
        </w:rPr>
        <w:t>10.5281/zenodo.10712047</w:t>
      </w:r>
      <w:r>
        <w:t xml:space="preserve">. The GSE272362 Zenodo object </w:t>
      </w:r>
      <w:r>
        <w:rPr>
          <w:rFonts w:ascii="Consolas" w:hAnsi="Consolas"/>
          <w:sz w:val="20"/>
        </w:rPr>
        <w:t>PDAC_Updated.rds</w:t>
      </w:r>
      <w:r>
        <w:t xml:space="preserve"> yielded 91,496 spots across 30 specimens. Additional external metastatic validation used 55 non-PDX Visium sections from the Nature 2025 metastatic PDAC atlas GSE274557, including primary, liver-metastatic, lung-metastatic and peritoneal-metastatic samples. Cell-resolution external validation used six GSE274673 Xenium PDAC sections, including three treatment-naive and three chemoradiotherapy-treated samples. GSE235315 contributed seven paired ST-H&amp;E samples used as an external spatial-state anchor. GSE202051 PDAC h5ad references were used for marker-constrained cell-state projection support. TCGA PAAD legacy Xena bulk RNA-seq was used as an external non-spatial tumor-microenvironment context layer.</w:t>
      </w:r>
    </w:p>
    <w:p>
      <w:pPr>
        <w:jc w:val="both"/>
      </w:pPr>
      <w:r>
        <w:t xml:space="preserve">For GSE272362, specimen-site labels were derived from the RDS </w:t>
      </w:r>
      <w:r>
        <w:rPr>
          <w:rFonts w:ascii="Consolas" w:hAnsi="Consolas"/>
          <w:sz w:val="20"/>
        </w:rPr>
        <w:t>Origin</w:t>
      </w:r>
      <w:r>
        <w:t xml:space="preserve"> field and audited against the GEO overall design, the linked article, Zenodo and local sample counts. The resulting groups were 10 primary tumors, 12 liver metastases, five lymph-node metastases and three normal pancreas samples. This provenance audit is recorded in </w:t>
      </w:r>
      <w:r>
        <w:rPr>
          <w:rFonts w:ascii="Consolas" w:hAnsi="Consolas"/>
          <w:sz w:val="20"/>
        </w:rPr>
        <w:t>metadata/gse272362_provenance_audit.md</w:t>
      </w:r>
      <w:r>
        <w:t>.</w:t>
      </w:r>
    </w:p>
    <w:p>
      <w:pPr>
        <w:jc w:val="both"/>
      </w:pPr>
      <w:r>
        <w:t>For GSE274557, GEO series metadata were parsed for tissue site and treatment fields. HDF5 filtered feature-barcode matrices and Space Ranger spatial archives were downloaded per sample from GEO supplementary files. PDX samples were excluded. The final GSE274557 external validation analysis included 19 primary PDAC, 16 liver metastasis, six lung metastasis and 14 peritoneal metastasis sections. CAF-core scoring, distance-to-core gradients and 1,000 same-size random-core comparisons were performed with the same core logic as the main spatial analyses. This cohort was used to validate broad metastatic CAF-core organization across organ sites, not lymph-node-specific immune decoupling.</w:t>
      </w:r>
    </w:p>
    <w:p>
      <w:pPr>
        <w:jc w:val="both"/>
      </w:pPr>
      <w:r>
        <w:t xml:space="preserve">For GSE274673, GEO series metadata and per-sample RAW archives were downloaded for all six Xenium sections. The extracted analysis files included </w:t>
      </w:r>
      <w:r>
        <w:rPr>
          <w:rFonts w:ascii="Consolas" w:hAnsi="Consolas"/>
          <w:sz w:val="20"/>
        </w:rPr>
        <w:t>cells.csv.gz</w:t>
      </w:r>
      <w:r>
        <w:t xml:space="preserve">, </w:t>
      </w:r>
      <w:r>
        <w:rPr>
          <w:rFonts w:ascii="Consolas" w:hAnsi="Consolas"/>
          <w:sz w:val="20"/>
        </w:rPr>
        <w:t>cell_feature_matrix.h5</w:t>
      </w:r>
      <w:r>
        <w:t>, feature and barcode files, clustering outputs and UMAP projections. Gene-panel module scores were computed from log-normalized cell-feature counts and z-scored genes. Two fixed expression-domain anchors were defined per sample: CAF-APC, the mean of CAF/matrix and IFN/APC scores, and CAF-SPP1/TAM, the mean of CAF/matrix and SPP1/TAM scores. The top 10% of cells by each anchor score were used as anchor cells. For each target program, the Spearman correlation between target score and normalized distance to the nearest anchor cell was compared with 1,000 same-size random cell anchors within the same section. This analysis was used only to test cell-resolution spatial organization around expression-defined CAF domains, not direct ligand-receptor signaling or causal cell-cell interaction.</w:t>
      </w:r>
    </w:p>
    <w:p>
      <w:pPr>
        <w:jc w:val="both"/>
      </w:pPr>
      <w:r>
        <w:t>TCGA PAAD survival context was analyzed from the same bulk RNA-seq axis scores and downloaded overall-survival table. Univariable Cox proportional-hazards models used standardized axis scores, and median-split Kaplan-Meier/log-rank analyses were used as visual stress tests. This analysis was treated as non-spatial clinical context and not as clinical validation of CAF-core localization.</w:t>
      </w:r>
    </w:p>
    <w:p>
      <w:pPr>
        <w:jc w:val="both"/>
      </w:pPr>
      <w:r>
        <w:t>TLS-maturity stress testing used expression-derived module scores for TLS chemokine, B-cell, T-cell, plasma-cell, DC/APC, FDC/germinal-center-like, immune-hub-core, immune-maturity-like and CAF-myeloid programs. Within each sample, CAF cores were redefined as the top 10% of spots by CAF-myeloid score. Module enrichment was calculated as mean within-sample z-scored module value in CAF-core spots minus non-core spots. A loose TLS-compatible gate required positive CAF-core enrichment of TLS chemokine, at least one lymphoid/plasma module and the FDC/GC-like module. The stringent gate used in the main stress-test figure required enrichment greater than 0.25 for TLS chemokine, at least one lymphoid/plasma module, FDC/GC-like and immune-maturity-like modules. This analysis was designed to test TLS-maturity compatibility, not to replace histologic TLS annotation.</w:t>
      </w:r>
    </w:p>
    <w:p>
      <w:pPr>
        <w:pStyle w:val="Heading2"/>
      </w:pPr>
      <w:r>
        <w:t>Data processing and spatial program scoring</w:t>
      </w:r>
    </w:p>
    <w:p>
      <w:pPr>
        <w:jc w:val="both"/>
      </w:pPr>
      <w:r>
        <w:t xml:space="preserve">GEO supplementary files were parsed into a curated manifest containing expression, tissue-position and tissue-image paths for each sample. GSE282302 and GSE274103 contained directly analyzable Visium-style expression and image files. GSE272362 GEO supplementary files provided spatial metadata and tissue images; transcriptomic scoring used the linked Zenodo </w:t>
      </w:r>
      <w:r>
        <w:rPr>
          <w:rFonts w:ascii="Consolas" w:hAnsi="Consolas"/>
          <w:sz w:val="20"/>
        </w:rPr>
        <w:t>PDAC_Updated.rds</w:t>
      </w:r>
      <w:r>
        <w:t xml:space="preserve"> object. GSE235315 supplementary files were downloaded from GEO and extracted locally.</w:t>
      </w:r>
    </w:p>
    <w:p>
      <w:pPr>
        <w:jc w:val="both"/>
      </w:pPr>
      <w:r>
        <w:t>Each spot was scored for prespecified programs relevant to the PDAC spatial-niche hypothesis: CAF-myeloid stromal core, IFN/MHC antigen-presentation, immune-core, tumor-aggressive and immune-maturity-like programs. For GSE282302, GSE274103 and GSE235315, scoring was performed from local Visium sample files and paired spatial coordinates. For GSE272362, scoring was performed from the Seurat object while preserving sample identity and spatial coordinates.</w:t>
      </w:r>
    </w:p>
    <w:p>
      <w:pPr>
        <w:jc w:val="both"/>
      </w:pPr>
      <w:r>
        <w:t>For directly processed GSE282302 and GSE274103 samples, edge/background-risk labels were computed from tissue-image and coordinate information to reduce boundary and background artifacts. Downstream main-cohort gradient and random-core analyses excluded spots marked as edge or background risk. GSE272362 RDS-derived analyses did not use the same edge/background-risk filter, and this limitation is retained in the claim boundary.</w:t>
      </w:r>
    </w:p>
    <w:p>
      <w:pPr>
        <w:pStyle w:val="Heading2"/>
      </w:pPr>
      <w:r>
        <w:t>CAF-core definition and distance-to-core gradients</w:t>
      </w:r>
    </w:p>
    <w:p>
      <w:pPr>
        <w:jc w:val="both"/>
      </w:pPr>
      <w:r>
        <w:t>Within each sample, the primary CAF-myeloid core was defined as the top 10% of spots by CAF-myeloid program score. This within-sample definition avoided between-sample scaling artifacts and ensured that each sample contributed a same-fraction spatial core. For threshold sensitivity, analyses were repeated with top 15%, top 10% and top 5% CAF-myeloid core definitions.</w:t>
      </w:r>
    </w:p>
    <w:p>
      <w:pPr>
        <w:jc w:val="both"/>
      </w:pPr>
      <w:r>
        <w:t>For each spot, Euclidean distance to the nearest CAF-core spot was computed in tissue-coordinate space. Distances were normalized by the median nearest-neighbor spot distance within the same sample. For each target program, Spearman correlation was computed between normalized distance to the CAF core and the target score. Negative Spearman rho values indicate target-program enrichment nearer to the CAF core.</w:t>
      </w:r>
    </w:p>
    <w:p>
      <w:pPr>
        <w:pStyle w:val="Heading2"/>
      </w:pPr>
      <w:r>
        <w:t>Random-core null model and threshold sensitivity</w:t>
      </w:r>
    </w:p>
    <w:p>
      <w:pPr>
        <w:jc w:val="both"/>
      </w:pPr>
      <w:r>
        <w:t>To test whether observed CAF-core gradients could be explained by arbitrary spatial regions, each sample was compared with 1,000 random same-size cores. For each random core, distances from every spot to the nearest random-core spot were computed and correlated with each target program using the same Spearman procedure as the observed CAF-core analysis.</w:t>
      </w:r>
    </w:p>
    <w:p>
      <w:pPr>
        <w:jc w:val="both"/>
      </w:pPr>
      <w:r>
        <w:t>For each sample and target, the observed CAF-core rho was compared with the random-core null distribution. Summary statistics included median observed rho, median random-core rho, median delta versus the random-core median, and the number of samples in which observed CAF-core rho was more negative than the random-core median. Negative delta values indicate stronger target-program enrichment around true CAF-myeloid cores than around random same-size cores.</w:t>
      </w:r>
    </w:p>
    <w:p>
      <w:pPr>
        <w:jc w:val="both"/>
      </w:pPr>
      <w:r>
        <w:t>CAF-core threshold sensitivity repeated distance-to-core gradients using top 15%, top 10% and top 5% CAF-myeloid cores. Conclusions were considered threshold-stable when median distance-to-core correlations remained directionally negative across thresholds.</w:t>
      </w:r>
    </w:p>
    <w:p>
      <w:pPr>
        <w:pStyle w:val="Heading2"/>
      </w:pPr>
      <w:r>
        <w:t>Stronger spatial null sensitivity analysis</w:t>
      </w:r>
    </w:p>
    <w:p>
      <w:pPr>
        <w:jc w:val="both"/>
      </w:pPr>
      <w:r>
        <w:t>To test whether the same-size random-core null was too weak because expression-defined CAF cores are spatially coherent, we generated spatially contiguous random cores within each section or specimen. Seed spots were sampled from analysis-eligible tissue spots with finite coordinates and CAF-myeloid scores. For GSE282302, spots marked as edge/background risk were excluded before null generation; for GSE272362, GSE235315 and GSE274557, where the same edge-risk field was not available, all tissue-positioned spots with finite coordinates were eligible. For each null iteration, a random seed spot was selected and the core was expanded on a k-nearest-neighbor graph by iterative nearest-neighbor growth until it matched the number of observed CAF-core spots in that sample. The nearest-neighbor frontier was sampled randomly at each growth step; if a frontier was exhausted, growth continued from remaining eligible tissue spots. Random seeds were fixed for reproducibility. For each sample, 1,000 contiguous random cores were generated. Distances to each contiguous random core were calculated and correlated with target-program scores using the same Spearman procedure as the observed CAF-core analysis. Support was defined as an observed CAF-core rho that was more target-centered than the median contiguous-null rho in the expected direction.</w:t>
      </w:r>
    </w:p>
    <w:p>
      <w:pPr>
        <w:pStyle w:val="Heading2"/>
      </w:pPr>
      <w:r>
        <w:t>Alternative-anchor and marker-overlap sensitivity analyses</w:t>
      </w:r>
    </w:p>
    <w:p>
      <w:pPr>
        <w:jc w:val="both"/>
      </w:pPr>
      <w:r>
        <w:t>Alternative-anchor specificity was tested by repeating distance-gradient analyses around CAF-only, myeloid-only, combined CAF-myeloid, panCAF, SPP1/TAM-high, tumor-high and immune-high anchors where the relevant scores were available. Each biological anchor was defined within sample, primarily as the top 10% of spots by the corresponding anchor score. For each anchor and target program, the observed distance-to-anchor Spearman correlation was compared with matched same-size random-anchor summaries.</w:t>
      </w:r>
    </w:p>
    <w:p>
      <w:pPr>
        <w:jc w:val="both"/>
      </w:pPr>
      <w:r>
        <w:t>Gene-module overlap sensitivity was performed by enumerating shared genes and Jaccard indices across all predefined modules. For target modules that shared genes with the CAF-myeloid core definition, overlap-removed target scores were recomputed where expression matrices were available and distance-gradient summaries were repeated. Target modules with no shared genes with the CAF-myeloid core definition were interpreted as independent non-overlap targets. SPP1/TAM and myCAF/matrix were treated as core-state interpretation modules when their marker content overlapped the core definition.</w:t>
      </w:r>
    </w:p>
    <w:p>
      <w:pPr>
        <w:pStyle w:val="Heading2"/>
      </w:pPr>
      <w:r>
        <w:t>GSE272362 spatial validation and subprogram decomposition</w:t>
      </w:r>
    </w:p>
    <w:p>
      <w:pPr>
        <w:jc w:val="both"/>
      </w:pPr>
      <w:r>
        <w:t>For GSE272362, CAF-core distance gradients were decomposed across stromal, myeloid, immune, tumor-state, hypoxia, plasma-cell, dendritic-cell/APC and neural/Schwann-associated programs. Within each sample, top 10% CAF-myeloid spots defined the CAF core. Spearman correlations between normalized distance to the core and each subprogram score were summarized by specimen site.</w:t>
      </w:r>
    </w:p>
    <w:p>
      <w:pPr>
        <w:jc w:val="both"/>
      </w:pPr>
      <w:r>
        <w:t>Patient-matched primary-metastasis comparisons were computed where primary and metastatic specimens shared an available patient identifier. For each subprogram and metastasis site, the metastasis-minus-primary delta in distance-to-core Spearman rho was reported. Negative deltas indicate that the metastasis was more CAF-core centered than the matched primary tumor for that program.</w:t>
      </w:r>
    </w:p>
    <w:p>
      <w:pPr>
        <w:jc w:val="both"/>
      </w:pPr>
      <w:r>
        <w:t>For the five lymph-node metastasis samples, individual-sample summaries and leave-one-out sensitivity analyses were computed for IFN/MHC, immune-core, tumor-aggressive, stromal-tumor coupling, immune-core coupling and the immune-decoupling index. In each leave-one-out iteration, one lymph-node metastasis sample was excluded and the site-level median metrics were recomputed. This analysis was used to assess whether the lymph-node immune-decoupling lead was dominated by a single specimen.</w:t>
      </w:r>
    </w:p>
    <w:p>
      <w:pPr>
        <w:pStyle w:val="Heading2"/>
      </w:pPr>
      <w:r>
        <w:t>CAF-core ecotypes, immune decoupling and tumor-stroma interfaces</w:t>
      </w:r>
    </w:p>
    <w:p>
      <w:pPr>
        <w:jc w:val="both"/>
      </w:pPr>
      <w:r>
        <w:t>CAF-core enrichment was calculated within each sample as the difference between mean within-sample z-scored program values in top 10% CAF-myeloid core spots and non-core spots. Non-negative matrix factorization was applied to CAF-core enrichment across stromal, myeloid, immune and tumor-state programs to identify recurrent CAF-core ecotypes. Each sample was assigned to its dominant ecotype by maximum NMF weight. Ecotype labels were assigned by dominant program loadings and are interpretive annotations rather than formal cell-type definitions.</w:t>
      </w:r>
    </w:p>
    <w:p>
      <w:pPr>
        <w:jc w:val="both"/>
      </w:pPr>
      <w:r>
        <w:t>NMF rank sensitivity was performed on the 143-sample Stage 22 ecotype matrix. Ranks 2-8 were tested with 50 randomized NNDSVDar initializations per rank and one NNDSVDa reference fit matching the primary implementation. For each rank, we summarized reconstruction explained fraction, adjusted Rand index across repeated dominant-ecotype assignments, consensus PAC, consensus cophenetic correlation, component cosine reproducibility and smallest dominant-component size in the best run. Rank 4 was selected as a stable and interpretable working resolution rather than a unique mathematical optimum.</w:t>
      </w:r>
    </w:p>
    <w:p>
      <w:pPr>
        <w:jc w:val="both"/>
      </w:pPr>
      <w:r>
        <w:t>The immune-decoupling index was defined as mean stromal-tumor CAF-core coupling minus mean immune CAF-core coupling. Stromal-tumor programs included myCAF, myeloid, SPP1/TREM2 TAM, TGF-beta, EMT/invasion and tumor-aggressive scores. Immune programs included IFN/MHC, immune-core, T-cell, B-cell and DC/APC scores.</w:t>
      </w:r>
    </w:p>
    <w:p>
      <w:pPr>
        <w:jc w:val="both"/>
      </w:pPr>
      <w:r>
        <w:t>Tumor-stroma interface regions were defined as spots within two median nearest-neighbor distances of both CAF-core spots and tumor-epithelial-high spots. Interface enrichment was calculated as the difference between mean within-sample z-scored program values in interface spots and non-interface spots.</w:t>
      </w:r>
    </w:p>
    <w:p>
      <w:pPr>
        <w:pStyle w:val="Heading2"/>
      </w:pPr>
      <w:r>
        <w:t>Candidate mechanism axes and targeted-gene validation</w:t>
      </w:r>
    </w:p>
    <w:p>
      <w:pPr>
        <w:jc w:val="both"/>
      </w:pPr>
      <w:r>
        <w:t>Candidate pathway-level axes were constructed from existing module scores to aid biological interpretation. The TGF-beta/EMT invasive axis combined TGF-beta pathway, EMT/invasion and myCAF scores. The SPP1/TAM-matrix axis combined SPP1/TREM2 TAM, myeloid and pan-CAF scores. Additional axes summarized IFN/APC antigen, T-cell/checkpoint, B/plasma lymphoid, basal-hypoxic tumor and classical epithelial programs. Component scores were z-scored within sample and averaged to define each axis. Axis enrichment at CAF cores and tumor-stroma interfaces was summarized by cohort/specimen context and correlated with the immune-decoupling index.</w:t>
      </w:r>
    </w:p>
    <w:p>
      <w:pPr>
        <w:jc w:val="both"/>
      </w:pPr>
      <w:r>
        <w:t>For mechanism triangulation, four focused ligand-receptor/interface candidates were scored across seven evidence layers: CAF-core ligand enrichment, interface receptor/response enrichment, directional core-to-interface score, association with immune decoupling, targeted-gene support, GSE274673 Xenium cell-level support and TCGA PAAD bulk-context consistency. Candidate axes were ranked by the sum of discretized evidence-layer support. This analysis was designed to prioritize perturbation-ready axes, not to infer causality from observational spatial data.</w:t>
      </w:r>
    </w:p>
    <w:p>
      <w:pPr>
        <w:jc w:val="both"/>
      </w:pPr>
      <w:r>
        <w:t>Targeted gene-level validation tested predefined gene sets for SPP1/TAM-matrix, TGF-beta/EMT invasive, IFN/APC antigen, B/plasma lymphoid and T-cell/checkpoint axes. For GSE282302, GSE274103 and GSE272362, target-gene expression was log-normalized per spot, averaged within each predefined axis and z-scored within sample. CAF-core enrichment was calculated as mean axis z-score in CAF-core spots minus non-core spots. This analysis supports candidate-axis nomination at the targeted-gene level but does not establish ligand-receptor signaling, perturbational causality or clinical mechanism.</w:t>
      </w:r>
    </w:p>
    <w:p>
      <w:pPr>
        <w:jc w:val="both"/>
      </w:pPr>
      <w:r>
        <w:t>Focused CXCL9-SPP1 polarity analysis tested SPP1, APOE, TREM2, CD68, CXCL9, CXCL10, CXCL11, an SPP1/TAM program, a CXCL9/IFN program and an SPP1-high/CXCL9-low polarity score. For each sample, enrichment was calculated as mean within-sample z-scored expression in CAF-core spots minus non-core spots. Spearman correlations were then computed between CAF-core feature enrichment and the immune-decoupling index.</w:t>
      </w:r>
    </w:p>
    <w:p>
      <w:pPr>
        <w:jc w:val="both"/>
      </w:pPr>
      <w:r>
        <w:t xml:space="preserve">Focused interface-candidate analysis tested four predefined expression axes: SPP1-CD44/integrin, TGF-beta/TGFBR, matrix-integrin and IL6-OSM/LIF-JAKSTAT. For each axis, ligand enrichment was evaluated in CAF-core spots, while receptor and response-gene enrichment were evaluated in tumor-stroma interface spots. A directional core-to-interface score combined ligand-core, receptor-interface and response-interface enrichment. Mechanism-triangulation scores were assigned across seven layers: CAF-core enrichment, interface enrichment, directional core-to-interface score, immune-decoupling association, targeted-gene support, Xenium support and TCGA bulk context. Numeric thresholds for </w:t>
      </w:r>
      <w:r>
        <w:rPr>
          <w:rFonts w:ascii="Consolas" w:hAnsi="Consolas"/>
          <w:sz w:val="20"/>
        </w:rPr>
        <w:t>+</w:t>
      </w:r>
      <w:r>
        <w:t xml:space="preserve"> and </w:t>
      </w:r>
      <w:r>
        <w:rPr>
          <w:rFonts w:ascii="Consolas" w:hAnsi="Consolas"/>
          <w:sz w:val="20"/>
        </w:rPr>
        <w:t>++</w:t>
      </w:r>
      <w:r>
        <w:t xml:space="preserve"> scoring are provided in Supplementary Table 8. These analyses nominate plausible interface programs but do not establish ligand-receptor binding, directional signaling or perturbational causality.</w:t>
      </w:r>
    </w:p>
    <w:p>
      <w:pPr>
        <w:pStyle w:val="Heading2"/>
      </w:pPr>
      <w:r>
        <w:t>Spatial architecture deepening analyses</w:t>
      </w:r>
    </w:p>
    <w:p>
      <w:pPr>
        <w:jc w:val="both"/>
      </w:pPr>
      <w:r>
        <w:t>Alternative biological-anchor specificity in the spatial-architecture module was tested by repeating distance-gradient analyses around CAF-myeloid cores and alternative same-sample biological anchors, including SPP1/TAM-high, tumor-high, immune-high and panCAF-high regions. This module complements the revision anchor-component analysis above, which explicitly separated CAF-only, myeloid-only and combined CAF-myeloid anchors. For each anchor and target program, the observed distance-to-anchor Spearman correlation was compared with matched random same-size anchor summaries. Support was defined as the fraction of samples in which the observed biological-anchor gradient exceeded the matched random-anchor expectation in the expected direction.</w:t>
      </w:r>
    </w:p>
    <w:p>
      <w:pPr>
        <w:jc w:val="both"/>
      </w:pPr>
      <w:r>
        <w:t>For Xenium cell-neighborhood analysis, each GSE274673 cell was assigned a program-dominant state from the scored CAF/matrix, SPP1/TAM, IFN/APC, T/NK, TGF-beta/EMT, tumor epithelial and residual categories. CAF-SPP1/TAM and CAF-APC anchor cells were compared with 1,000 matched random cell anchors per section. Neighborhood composition was summarized as the observed fraction of neighboring cell states minus the matched random-neighborhood fraction. Cell-state adjacency was summarized as observed/expected neighborhood ratios and log2 observed/expected enrichment across sections.</w:t>
      </w:r>
    </w:p>
    <w:p>
      <w:pPr>
        <w:jc w:val="both"/>
      </w:pPr>
      <w:r>
        <w:t>Core-to-interface transition analysis defined a pseudo-spatial coordinate from CAF-core-proximal regions to tumor-epithelial-high regions within each spatial sample. Spots were binned along this coordinate, and within-sample z-scored program values were summarized by bin and tissue context. This coordinate captures spatial organization across a tissue axis and was not interpreted as temporal progression.</w:t>
      </w:r>
    </w:p>
    <w:p>
      <w:pPr>
        <w:jc w:val="both"/>
      </w:pPr>
      <w:r>
        <w:t>CAF-core geometry was quantified from the binary CAF-core mask in each sample. Metrics included connected-component count, fragmentation per 100 core spots, largest-component fraction, compactness, interface-core fraction, median distance from CAF-core spots to tumor-epithelial-high spots and tumor-boundary contacts per core spot. Geometry metrics were correlated with stromal-tumor core coupling, immune-core coupling, immune decoupling and core-to-interface transition readouts using Spearman correlation. These analyses were used to characterize tissue architecture and candidate mechanism context, not to infer physical force, cell movement or causality.</w:t>
      </w:r>
    </w:p>
    <w:p>
      <w:pPr>
        <w:pStyle w:val="Heading2"/>
      </w:pPr>
      <w:r>
        <w:t>Marker-level cell-state attribution and GSE202051 reference projection</w:t>
      </w:r>
    </w:p>
    <w:p>
      <w:pPr>
        <w:jc w:val="both"/>
      </w:pPr>
      <w:r>
        <w:t>Marker-level cell-state attribution used predefined marker sets for myCAF/matrix, iCAF, SPP1/TAM, DC/APC, T/NK, B/plasma, epithelial/tumor, endothelial, neural/Schwann and acinar/normal states. Gene expression was log-normalized and z-scored within each spatial sample. CAF-core enrichment was calculated as core mean minus non-core mean for each marker state.</w:t>
      </w:r>
    </w:p>
    <w:p>
      <w:pPr>
        <w:jc w:val="both"/>
      </w:pPr>
      <w:r>
        <w:t>For reference projection, GSE202051 h5ad subsets and the total h5ad file were downloaded from GEO. Cells or nuclei with high reference signature scores were used to define marker-constrained reference profiles. Spatial spots were projected onto these profiles by least-squares coefficients, negative values were clipped to zero, and coefficients were normalized per spot. As a stricter sensitivity analysis, we also fit per-spot non-negative least-squares coefficients against the full GSE202051-derived signatures and summarized CAF-core enrichment, CAF-myeloid score association and immune-decoupling correlations at the sample level. These projections were used as reference-dependent support for cellular interpretation, not as immunostaining, segmentation or single-cell-resolved ground truth.</w:t>
      </w:r>
    </w:p>
    <w:p>
      <w:pPr>
        <w:pStyle w:val="Heading2"/>
      </w:pPr>
      <w:r>
        <w:t>TCGA PAAD bulk context</w:t>
      </w:r>
    </w:p>
    <w:p>
      <w:pPr>
        <w:jc w:val="both"/>
      </w:pPr>
      <w:r>
        <w:t>TCGA PAAD legacy Xena HiSeqV2 bulk RNA-seq and clinical matrices were downloaded. For each predefined axis, genes were z-scored across samples and averaged. A bulk stromal-myeloid index averaged myCAF/matrix, SPP1/TAM, TGF-beta/EMT and matrix-integrin scores; a bulk immune projection index averaged DC/APC, T/NK and B/plasma scores; and a bulk decoupling-like index was defined as stromal-myeloid minus immune. Spearman correlations were used for bulk context analysis. Clinical associations were treated as exploratory and were not used for primary claims.</w:t>
      </w:r>
    </w:p>
    <w:p>
      <w:pPr>
        <w:pStyle w:val="Heading2"/>
      </w:pPr>
      <w:r>
        <w:t>H&amp;E overlay generation and morphology screen</w:t>
      </w:r>
    </w:p>
    <w:p>
      <w:pPr>
        <w:jc w:val="both"/>
      </w:pPr>
      <w:r>
        <w:t>Representative H&amp;E overlays were generated to inspect whether statistical spatial gradients corresponded to plausible tissue compartments. For GSE272362, RDS-derived spot coordinates were matched to GEO tissue-position coordinates before overlaying program scores on tissue images. Selected GSE272362 examples had 400/400 exact coordinate matches between RDS coordinates and GEO tissue-position coordinates.</w:t>
      </w:r>
    </w:p>
    <w:p>
      <w:pPr>
        <w:jc w:val="both"/>
      </w:pPr>
      <w:r>
        <w:t xml:space="preserve">For GSE282302 and GSE274103, simple H&amp;E patch morphology features were extracted around each Visium spot using matched high-resolution tissue images and </w:t>
      </w:r>
      <w:r>
        <w:rPr>
          <w:rFonts w:ascii="Consolas" w:hAnsi="Consolas"/>
          <w:sz w:val="20"/>
        </w:rPr>
        <w:t>tissue_hires_scalef</w:t>
      </w:r>
      <w:r>
        <w:t xml:space="preserve"> values. Features included tissue fraction, white/background fraction, brightness, grayscale texture, saturation, optical-density summaries, red-blue color contrast, pink and purple pixel fractions, and edge density. Spots marked as edge/background risk, spots with high local white-background fraction, and spots with low patch tissue fraction were excluded from model analysis.</w:t>
      </w:r>
    </w:p>
    <w:p>
      <w:pPr>
        <w:jc w:val="both"/>
      </w:pPr>
      <w:r>
        <w:t>Univariate morphology associations were estimated as within-sample Spearman correlations. Multifeature H&amp;E models used within-sample z-scored features and targets and were evaluated using ridge regression with grouped cross-validation by dataset-patient group. Negative controls permuted each target within sample before repeating the same grouped cross-validation procedure.</w:t>
      </w:r>
    </w:p>
    <w:p>
      <w:pPr>
        <w:pStyle w:val="Heading2"/>
      </w:pPr>
      <w:r>
        <w:t>Statistical analysis</w:t>
      </w:r>
    </w:p>
    <w:p>
      <w:pPr>
        <w:jc w:val="both"/>
      </w:pPr>
      <w:r>
        <w:t>All primary spatial inferences were summarized at the section, specimen or sample level. Spots or cells were used to compute within-sample spatial scores, distances and gradients, but cross-sample conclusions were not inferred from pooled spot-level or cell-level observations. This design was used to avoid treating thousands of spots from the same tissue section as independent biological replicates.</w:t>
      </w:r>
    </w:p>
    <w:p>
      <w:pPr>
        <w:jc w:val="both"/>
      </w:pPr>
      <w:r>
        <w:t>Distance-to-core gradients were quantified using Spearman correlation between normalized distance to the nearest anchor spot or cell and the corresponding target-program score. Negative rho values indicate enrichment near the anchor, whereas positive rho values indicate depletion from the anchor or distal enrichment. For random-core analyses, the primary effect size was the observed rho minus the median random-core rho within the same sample. A negative delta for near-core targets indicates stronger target-program centering around the observed CAF-myeloid core than around matched random cores. Support fractions report the number or fraction of samples in which the observed gradient was more target-centered than the matched null median.</w:t>
      </w:r>
    </w:p>
    <w:p>
      <w:pPr>
        <w:jc w:val="both"/>
      </w:pPr>
      <w:r>
        <w:t xml:space="preserve">Where empirical randomization p values were computed, they were estimated within sample as </w:t>
      </w:r>
      <w:r>
        <w:rPr>
          <w:rFonts w:ascii="Consolas" w:hAnsi="Consolas"/>
          <w:sz w:val="20"/>
        </w:rPr>
        <w:t>(1 + number of null gradients at least as extreme as the observed gradient) / (1 + number of null cores)</w:t>
      </w:r>
      <w:r>
        <w:t>, with the direction of extremity determined by the expected near-core enrichment or distal enrichment. Multiple testing was controlled with the Benjamini-Hochberg procedure for analyses designed as families of tests, including TCGA survival-context summaries and selected correlation panels. Analyses without formal family-wise testing were treated as exploratory and interpreted through effect direction, support fraction and consistency across samples rather than spot-level p values. Random seeds were fixed for random-core, contiguous-null, anchor-comparison, NMF and cross-validation procedures where those procedures involved stochastic sampling or initialization.</w:t>
      </w:r>
    </w:p>
    <w:p>
      <w:pPr>
        <w:jc w:val="both"/>
      </w:pPr>
      <w:r>
        <w:t>For NMF, ranks were evaluated by reconstruction explained fraction, repeated-initialization assignment stability, consensus ambiguity and component reproducibility. Ecotype names were assigned after the model fit from dominant loadings and were not treated as predefined cell types. Reference projection and non-negative least-squares analyses were marker-constrained computational projections; they provide directional support for cell-state interpretation but not single-cell-resolved spatial abundance. TCGA analyses used bulk RNA-seq as a non-spatial context layer and exploratory univariable survival stress test, not as spatial validation or a clinical prediction model.</w:t>
      </w:r>
    </w:p>
    <w:p>
      <w:pPr>
        <w:pStyle w:val="Heading2"/>
      </w:pPr>
      <w:r>
        <w:t>Figure assembly and software</w:t>
      </w:r>
    </w:p>
    <w:p>
      <w:pPr>
        <w:jc w:val="both"/>
      </w:pPr>
      <w:r>
        <w:t xml:space="preserve">Submission-style figures were assembled from source tables and representative overlays. The current polished figure suite is generated by </w:t>
      </w:r>
      <w:r>
        <w:rPr>
          <w:rFonts w:ascii="Consolas" w:hAnsi="Consolas"/>
          <w:sz w:val="20"/>
        </w:rPr>
        <w:t>scripts/26_make_submission_figure_suite.py</w:t>
      </w:r>
      <w:r>
        <w:t xml:space="preserve">. Targeted-gene validation is generated by </w:t>
      </w:r>
      <w:r>
        <w:rPr>
          <w:rFonts w:ascii="Consolas" w:hAnsi="Consolas"/>
          <w:sz w:val="20"/>
        </w:rPr>
        <w:t>scripts/27_export_gse272362_target_gene_expression.R</w:t>
      </w:r>
      <w:r>
        <w:t xml:space="preserve"> and </w:t>
      </w:r>
      <w:r>
        <w:rPr>
          <w:rFonts w:ascii="Consolas" w:hAnsi="Consolas"/>
          <w:sz w:val="20"/>
        </w:rPr>
        <w:t>scripts/27_targeted_gene_axis_validation.py</w:t>
      </w:r>
      <w:r>
        <w:t xml:space="preserve">. Extended robustness and external-anchor panels are generated by </w:t>
      </w:r>
      <w:r>
        <w:rPr>
          <w:rFonts w:ascii="Consolas" w:hAnsi="Consolas"/>
          <w:sz w:val="20"/>
        </w:rPr>
        <w:t>scripts/28_make_extended_data_robustness_figure.py</w:t>
      </w:r>
      <w:r>
        <w:t xml:space="preserve">. Marker-level cell-state attribution, GSE202051 reference projection, TCGA PAAD bulk-context, focused mechanism-support, GSE274557 external-validation and GSE274673 Xenium cell-resolution panels are generated by </w:t>
      </w:r>
      <w:r>
        <w:rPr>
          <w:rFonts w:ascii="Consolas" w:hAnsi="Consolas"/>
          <w:sz w:val="20"/>
        </w:rPr>
        <w:t>scripts/34_cell_state_marker_attribution_gap2.py</w:t>
      </w:r>
      <w:r>
        <w:t xml:space="preserve">, </w:t>
      </w:r>
      <w:r>
        <w:rPr>
          <w:rFonts w:ascii="Consolas" w:hAnsi="Consolas"/>
          <w:sz w:val="20"/>
        </w:rPr>
        <w:t>scripts/36_reference_projection_deconvolution_gap2.py</w:t>
      </w:r>
      <w:r>
        <w:t xml:space="preserve">, </w:t>
      </w:r>
      <w:r>
        <w:rPr>
          <w:rFonts w:ascii="Consolas" w:hAnsi="Consolas"/>
          <w:sz w:val="20"/>
        </w:rPr>
        <w:t>scripts/37_compare_gse202051_reference_projection.py</w:t>
      </w:r>
      <w:r>
        <w:t xml:space="preserve">, </w:t>
      </w:r>
      <w:r>
        <w:rPr>
          <w:rFonts w:ascii="Consolas" w:hAnsi="Consolas"/>
          <w:sz w:val="20"/>
        </w:rPr>
        <w:t>scripts/38_tcga_paad_bulk_context.py</w:t>
      </w:r>
      <w:r>
        <w:t xml:space="preserve">, </w:t>
      </w:r>
      <w:r>
        <w:rPr>
          <w:rFonts w:ascii="Consolas" w:hAnsi="Consolas"/>
          <w:sz w:val="20"/>
        </w:rPr>
        <w:t>scripts/39_make_extended_data_figure6_cell_state_reference_support.py</w:t>
      </w:r>
      <w:r>
        <w:t xml:space="preserve">, </w:t>
      </w:r>
      <w:r>
        <w:rPr>
          <w:rFonts w:ascii="Consolas" w:hAnsi="Consolas"/>
          <w:sz w:val="20"/>
        </w:rPr>
        <w:t>scripts/40_make_extended_data_figures8_9_mechanism_support.py</w:t>
      </w:r>
      <w:r>
        <w:t xml:space="preserve">, </w:t>
      </w:r>
      <w:r>
        <w:rPr>
          <w:rFonts w:ascii="Consolas" w:hAnsi="Consolas"/>
          <w:sz w:val="20"/>
        </w:rPr>
        <w:t>scripts/41_external_metastatic_pdac_feasibility.py</w:t>
      </w:r>
      <w:r>
        <w:t xml:space="preserve">, </w:t>
      </w:r>
      <w:r>
        <w:rPr>
          <w:rFonts w:ascii="Consolas" w:hAnsi="Consolas"/>
          <w:sz w:val="20"/>
        </w:rPr>
        <w:t>scripts/42_gse274557_pilot_caf_core_validation.py</w:t>
      </w:r>
      <w:r>
        <w:t xml:space="preserve">, </w:t>
      </w:r>
      <w:r>
        <w:rPr>
          <w:rFonts w:ascii="Consolas" w:hAnsi="Consolas"/>
          <w:sz w:val="20"/>
        </w:rPr>
        <w:t>scripts/43_make_extended_data_figure10_gse274557_external_validation.py</w:t>
      </w:r>
      <w:r>
        <w:t xml:space="preserve">, </w:t>
      </w:r>
      <w:r>
        <w:rPr>
          <w:rFonts w:ascii="Consolas" w:hAnsi="Consolas"/>
          <w:sz w:val="20"/>
        </w:rPr>
        <w:t>scripts/44_make_extended_data_figure10_source_data.py</w:t>
      </w:r>
      <w:r>
        <w:t xml:space="preserve">, </w:t>
      </w:r>
      <w:r>
        <w:rPr>
          <w:rFonts w:ascii="Consolas" w:hAnsi="Consolas"/>
          <w:sz w:val="20"/>
        </w:rPr>
        <w:t>scripts/46_gse274673_xenium_pilot_expression_domain.py</w:t>
      </w:r>
      <w:r>
        <w:t xml:space="preserve">, </w:t>
      </w:r>
      <w:r>
        <w:rPr>
          <w:rFonts w:ascii="Consolas" w:hAnsi="Consolas"/>
          <w:sz w:val="20"/>
        </w:rPr>
        <w:t>scripts/47_gse274673_xenium_two_sample_anchor_sensitivity.py</w:t>
      </w:r>
      <w:r>
        <w:t xml:space="preserve">, </w:t>
      </w:r>
      <w:r>
        <w:rPr>
          <w:rFonts w:ascii="Consolas" w:hAnsi="Consolas"/>
          <w:sz w:val="20"/>
        </w:rPr>
        <w:t>scripts/48_gse274673_xenium_fixed_anchor_validation.py</w:t>
      </w:r>
      <w:r>
        <w:t xml:space="preserve">, </w:t>
      </w:r>
      <w:r>
        <w:rPr>
          <w:rFonts w:ascii="Consolas" w:hAnsi="Consolas"/>
          <w:sz w:val="20"/>
        </w:rPr>
        <w:t>scripts/49_make_candidate_figure4_multiresolution_validation.py</w:t>
      </w:r>
      <w:r>
        <w:t xml:space="preserve">, </w:t>
      </w:r>
      <w:r>
        <w:rPr>
          <w:rFonts w:ascii="Consolas" w:hAnsi="Consolas"/>
          <w:sz w:val="20"/>
        </w:rPr>
        <w:t>scripts/50_make_reference_style_supplement_figures.py</w:t>
      </w:r>
      <w:r>
        <w:t xml:space="preserve">, </w:t>
      </w:r>
      <w:r>
        <w:rPr>
          <w:rFonts w:ascii="Consolas" w:hAnsi="Consolas"/>
          <w:sz w:val="20"/>
        </w:rPr>
        <w:t>scripts/51_make_deep_reference_style_figures.py</w:t>
      </w:r>
      <w:r>
        <w:t xml:space="preserve">, </w:t>
      </w:r>
      <w:r>
        <w:rPr>
          <w:rFonts w:ascii="Consolas" w:hAnsi="Consolas"/>
          <w:sz w:val="20"/>
        </w:rPr>
        <w:t>scripts/52_make_ecotype_flow_figure.py</w:t>
      </w:r>
      <w:r>
        <w:t xml:space="preserve">, </w:t>
      </w:r>
      <w:r>
        <w:rPr>
          <w:rFonts w:ascii="Consolas" w:hAnsi="Consolas"/>
          <w:sz w:val="20"/>
        </w:rPr>
        <w:t>scripts/53_make_candidate_main_figure3_v2.py</w:t>
      </w:r>
      <w:r>
        <w:t xml:space="preserve">, </w:t>
      </w:r>
      <w:r>
        <w:rPr>
          <w:rFonts w:ascii="Consolas" w:hAnsi="Consolas"/>
          <w:sz w:val="20"/>
        </w:rPr>
        <w:t>scripts/54_make_candidate_main_figure3_nc_style.py</w:t>
      </w:r>
      <w:r>
        <w:t xml:space="preserve">, </w:t>
      </w:r>
      <w:r>
        <w:rPr>
          <w:rFonts w:ascii="Consolas" w:hAnsi="Consolas"/>
          <w:sz w:val="20"/>
        </w:rPr>
        <w:t>scripts/55_make_nc_style_main_figures.py</w:t>
      </w:r>
      <w:r>
        <w:t xml:space="preserve">, </w:t>
      </w:r>
      <w:r>
        <w:rPr>
          <w:rFonts w:ascii="Consolas" w:hAnsi="Consolas"/>
          <w:sz w:val="20"/>
        </w:rPr>
        <w:t>scripts/56_mechanism_triangulation_priority.py</w:t>
      </w:r>
      <w:r>
        <w:t xml:space="preserve">, </w:t>
      </w:r>
      <w:r>
        <w:rPr>
          <w:rFonts w:ascii="Consolas" w:hAnsi="Consolas"/>
          <w:sz w:val="20"/>
        </w:rPr>
        <w:t>scripts/57_tcga_survival_context.py</w:t>
      </w:r>
      <w:r>
        <w:t xml:space="preserve">, </w:t>
      </w:r>
      <w:r>
        <w:rPr>
          <w:rFonts w:ascii="Consolas" w:hAnsi="Consolas"/>
          <w:sz w:val="20"/>
        </w:rPr>
        <w:t>scripts/58_tls_maturity_stress_test.py</w:t>
      </w:r>
      <w:r>
        <w:t xml:space="preserve">, </w:t>
      </w:r>
      <w:r>
        <w:rPr>
          <w:rFonts w:ascii="Consolas" w:hAnsi="Consolas"/>
          <w:sz w:val="20"/>
        </w:rPr>
        <w:t>scripts/59_make_nc_style_supplement_modules.py</w:t>
      </w:r>
      <w:r>
        <w:t xml:space="preserve">, </w:t>
      </w:r>
      <w:r>
        <w:rPr>
          <w:rFonts w:ascii="Consolas" w:hAnsi="Consolas"/>
          <w:sz w:val="20"/>
        </w:rPr>
        <w:t>scripts/60_make_nc_style_robustness_module.py</w:t>
      </w:r>
      <w:r>
        <w:t xml:space="preserve">, </w:t>
      </w:r>
      <w:r>
        <w:rPr>
          <w:rFonts w:ascii="Consolas" w:hAnsi="Consolas"/>
          <w:sz w:val="20"/>
        </w:rPr>
        <w:t>scripts/61_make_nc_style_cell_state_module.py</w:t>
      </w:r>
      <w:r>
        <w:t xml:space="preserve">, </w:t>
      </w:r>
      <w:r>
        <w:rPr>
          <w:rFonts w:ascii="Consolas" w:hAnsi="Consolas"/>
          <w:sz w:val="20"/>
        </w:rPr>
        <w:t>scripts/62_make_nc_style_metastatic_decoupling_module.py</w:t>
      </w:r>
      <w:r>
        <w:t xml:space="preserve">, </w:t>
      </w:r>
      <w:r>
        <w:rPr>
          <w:rFonts w:ascii="Consolas" w:hAnsi="Consolas"/>
          <w:sz w:val="20"/>
        </w:rPr>
        <w:t>scripts/63_strict_nnls_reference_deconvolution.py</w:t>
      </w:r>
      <w:r>
        <w:t xml:space="preserve">, </w:t>
      </w:r>
      <w:r>
        <w:rPr>
          <w:rFonts w:ascii="Consolas" w:hAnsi="Consolas"/>
          <w:sz w:val="20"/>
        </w:rPr>
        <w:t>scripts/64_make_nc_style_mechanism_gene_interface_module.py</w:t>
      </w:r>
      <w:r>
        <w:t xml:space="preserve">, </w:t>
      </w:r>
      <w:r>
        <w:rPr>
          <w:rFonts w:ascii="Consolas" w:hAnsi="Consolas"/>
          <w:sz w:val="20"/>
        </w:rPr>
        <w:t>scripts/74_alternative_biological_anchor_specificity.py</w:t>
      </w:r>
      <w:r>
        <w:t xml:space="preserve">, </w:t>
      </w:r>
      <w:r>
        <w:rPr>
          <w:rFonts w:ascii="Consolas" w:hAnsi="Consolas"/>
          <w:sz w:val="20"/>
        </w:rPr>
        <w:t>scripts/75_xenium_cell_neighborhood_network.py</w:t>
      </w:r>
      <w:r>
        <w:t xml:space="preserve">, </w:t>
      </w:r>
      <w:r>
        <w:rPr>
          <w:rFonts w:ascii="Consolas" w:hAnsi="Consolas"/>
          <w:sz w:val="20"/>
        </w:rPr>
        <w:t>scripts/76_core_to_interface_transition_model.py</w:t>
      </w:r>
      <w:r>
        <w:t xml:space="preserve">, </w:t>
      </w:r>
      <w:r>
        <w:rPr>
          <w:rFonts w:ascii="Consolas" w:hAnsi="Consolas"/>
          <w:sz w:val="20"/>
        </w:rPr>
        <w:t>scripts/77_caf_core_geometry_tissue_architecture.py</w:t>
      </w:r>
      <w:r>
        <w:t xml:space="preserve"> and </w:t>
      </w:r>
      <w:r>
        <w:rPr>
          <w:rFonts w:ascii="Consolas" w:hAnsi="Consolas"/>
          <w:sz w:val="20"/>
        </w:rPr>
        <w:t>scripts/78_make_deep_spatial_architecture_module.py</w:t>
      </w:r>
      <w:r>
        <w:t>.</w:t>
      </w:r>
    </w:p>
    <w:p>
      <w:pPr>
        <w:jc w:val="both"/>
      </w:pPr>
      <w:r>
        <w:t xml:space="preserve">Analyses were run with R 4.6.0 and Python 3.11.0. Key R packages included Seurat 5.5.0, SeuratObject 5.4.0, data.table 1.18.4, FNN 1.1.4.1, RANN 2.6.2, ggplot2 4.0.3, png 0.1.9, gridExtra 2.3 and patchwork 1.3.2. Key Python packages included numpy 2.4.3, pandas 3.0.1, matplotlib 3.10.8, Pillow 12.1.1, scipy 1.17.1, scikit-learn 1.8.0, h5py 3.16.0 and PyMuPDF 1.26.6. Command-level reproducibility notes are provided in </w:t>
      </w:r>
      <w:r>
        <w:rPr>
          <w:rFonts w:ascii="Consolas" w:hAnsi="Consolas"/>
          <w:sz w:val="20"/>
        </w:rPr>
        <w:t>results/reports/references_versions_reproducibility.md</w:t>
      </w:r>
      <w:r>
        <w:t>.</w:t>
      </w:r>
    </w:p>
    <w:p>
      <w:pPr>
        <w:pStyle w:val="Heading1"/>
      </w:pPr>
      <w:r>
        <w:t>Data availability</w:t>
      </w:r>
    </w:p>
    <w:p>
      <w:pPr>
        <w:jc w:val="both"/>
      </w:pPr>
      <w:r>
        <w:t xml:space="preserve">All analyses used public datasets available from GEO, TCGA or associated public repositories. Accession numbers include GSE282302, GSE274103, GSE235315, GSE272362, GSE274557, GSE274673, GSE202051 and TCGA-PAAD. GSE272362 specimen-group provenance is documented in </w:t>
      </w:r>
      <w:r>
        <w:rPr>
          <w:rFonts w:ascii="Consolas" w:hAnsi="Consolas"/>
          <w:sz w:val="20"/>
        </w:rPr>
        <w:t>metadata/gse272362_provenance_audit.md</w:t>
      </w:r>
      <w:r>
        <w:t xml:space="preserve">. Panel-level source mapping is maintained in </w:t>
      </w:r>
      <w:r>
        <w:rPr>
          <w:rFonts w:ascii="Consolas" w:hAnsi="Consolas"/>
          <w:sz w:val="20"/>
        </w:rPr>
        <w:t>results/reports/submission_figure_captions_and_source_map.md</w:t>
      </w:r>
      <w:r>
        <w:t xml:space="preserve">. Command-level reproducibility is maintained in </w:t>
      </w:r>
      <w:r>
        <w:rPr>
          <w:rFonts w:ascii="Consolas" w:hAnsi="Consolas"/>
          <w:sz w:val="20"/>
        </w:rPr>
        <w:t>results/reports/references_versions_reproducibility.md</w:t>
      </w:r>
      <w:r>
        <w:t>.</w:t>
      </w:r>
    </w:p>
    <w:p>
      <w:pPr>
        <w:jc w:val="both"/>
      </w:pPr>
      <w:r>
        <w:t xml:space="preserve">Revision-local source data for the plotted quantitative panels are staged in </w:t>
      </w:r>
      <w:r>
        <w:rPr>
          <w:rFonts w:ascii="Consolas" w:hAnsi="Consolas"/>
          <w:sz w:val="20"/>
        </w:rPr>
        <w:t>results/revision_2026_06_29/source_data/</w:t>
      </w:r>
      <w:r>
        <w:t>. This directory contains main-figure source data (</w:t>
      </w:r>
      <w:r>
        <w:rPr>
          <w:rFonts w:ascii="Consolas" w:hAnsi="Consolas"/>
          <w:sz w:val="20"/>
        </w:rPr>
        <w:t>Source_Data_Fig_*.csv</w:t>
      </w:r>
      <w:r>
        <w:t>), regenerated supplementary-module source data (</w:t>
      </w:r>
      <w:r>
        <w:rPr>
          <w:rFonts w:ascii="Consolas" w:hAnsi="Consolas"/>
          <w:sz w:val="20"/>
        </w:rPr>
        <w:t>Source_Data_supplementary_module*.csv</w:t>
      </w:r>
      <w:r>
        <w:t xml:space="preserve">) and revision-specific Extended Data Fig. 7 and Extended Data Fig. 8 source data. File-level manifests are provided in </w:t>
      </w:r>
      <w:r>
        <w:rPr>
          <w:rFonts w:ascii="Consolas" w:hAnsi="Consolas"/>
          <w:sz w:val="20"/>
        </w:rPr>
        <w:t>results/revision_2026_06_29/source_data/README.md</w:t>
      </w:r>
      <w:r>
        <w:t xml:space="preserve"> and </w:t>
      </w:r>
      <w:r>
        <w:rPr>
          <w:rFonts w:ascii="Consolas" w:hAnsi="Consolas"/>
          <w:sz w:val="20"/>
        </w:rPr>
        <w:t>results/revision_2026_06_29/source_data/source_data_file_manifest.csv</w:t>
      </w:r>
      <w:r>
        <w:t>.</w:t>
      </w:r>
    </w:p>
    <w:p>
      <w:pPr>
        <w:jc w:val="both"/>
      </w:pPr>
      <w:r>
        <w:t xml:space="preserve">Module-level figure provenance is summarized in </w:t>
      </w:r>
      <w:r>
        <w:rPr>
          <w:rFonts w:ascii="Consolas" w:hAnsi="Consolas"/>
          <w:sz w:val="20"/>
        </w:rPr>
        <w:t>results/reports/submission_figure_captions_and_source_map.md</w:t>
      </w:r>
      <w:r>
        <w:t xml:space="preserve">, </w:t>
      </w:r>
      <w:r>
        <w:rPr>
          <w:rFonts w:ascii="Consolas" w:hAnsi="Consolas"/>
          <w:sz w:val="20"/>
        </w:rPr>
        <w:t>results/reports/submission_package_index.md</w:t>
      </w:r>
      <w:r>
        <w:t xml:space="preserve"> and </w:t>
      </w:r>
      <w:r>
        <w:rPr>
          <w:rFonts w:ascii="Consolas" w:hAnsi="Consolas"/>
          <w:sz w:val="20"/>
        </w:rPr>
        <w:t>results/revision_2026_06_29/docs/figure_panel_map.md</w:t>
      </w:r>
      <w:r>
        <w:t>.</w:t>
      </w:r>
    </w:p>
    <w:p>
      <w:pPr>
        <w:pStyle w:val="Heading1"/>
      </w:pPr>
      <w:r>
        <w:t>Code availability</w:t>
      </w:r>
    </w:p>
    <w:p>
      <w:pPr>
        <w:jc w:val="both"/>
      </w:pPr>
      <w:r>
        <w:t xml:space="preserve">The analysis code, processed source tables and figure-generation scripts are staged for peer review in a private GitHub repository at </w:t>
      </w:r>
      <w:r>
        <w:rPr>
          <w:rFonts w:ascii="Consolas" w:hAnsi="Consolas"/>
          <w:sz w:val="20"/>
        </w:rPr>
        <w:t>https://github.com/zzf617128/pdac_spatial_ecology</w:t>
      </w:r>
      <w:r>
        <w:t xml:space="preserve">; reviewer access can be enabled during journal evaluation. A permanent DOI-linked public repository will be released upon publication. The repository includes scripts for spatial preprocessing, module scoring, same-size random-core analyses, spatially contiguous random-core controls, anchor-component sensitivity, marker-overlap sensitivity, lymph-node leave-one-out analysis, NMF rank stability, Xenium validation, TCGA context analysis, figure generation and the panel-level plotting-code archive. A detailed local script and provenance index is maintained in </w:t>
      </w:r>
      <w:r>
        <w:rPr>
          <w:rFonts w:ascii="Consolas" w:hAnsi="Consolas"/>
          <w:sz w:val="20"/>
        </w:rPr>
        <w:t>results/reports/submission_package_index.md</w:t>
      </w:r>
      <w:r>
        <w:t>.</w:t>
      </w:r>
    </w:p>
    <w:p>
      <w:pPr>
        <w:pStyle w:val="Heading1"/>
      </w:pPr>
      <w:r>
        <w:t>Acknowledgements</w:t>
      </w:r>
    </w:p>
    <w:p>
      <w:pPr>
        <w:jc w:val="both"/>
      </w:pPr>
      <w:r>
        <w:t>The authors thank the investigators and participants of the original studies that generated the public spatial transcriptomic, single-cell, bulk RNA-seq and histology datasets re-analyzed in this work. The authors also acknowledge the GEO, TCGA, UCSC Xena, Zenodo and associated public repositories for maintaining access to these resources.</w:t>
      </w:r>
    </w:p>
    <w:p>
      <w:pPr>
        <w:pStyle w:val="Heading1"/>
      </w:pPr>
      <w:r>
        <w:t>Author contributions</w:t>
      </w:r>
    </w:p>
    <w:p>
      <w:pPr>
        <w:jc w:val="both"/>
      </w:pPr>
      <w:r>
        <w:t>Z.Z., T.T., M.G., J.H. and K.J. conceptualized the study. Z.Z. designed and implemented the computational analysis, performed spatial transcriptomic preprocessing, gene-program scoring, random-core and contiguous-null analyses, sensitivity analyses, statistical analysis and figure generation. T.T. curated public cohorts, harmonized metadata provenance, contributed to external validation and sensitivity analyses, and interpreted the results. M.G. contributed to pathological and biological interpretation of tumor-stroma spatial ecology and validation of histology-related findings. X.C., C.W. and H.W. contributed to data management, quality-control analysis, literature review, supplementary analyses and figure preparation. J.H. and K.J. supervised the project, provided clinical and methodological oversight, acquired resources, interpreted the results and critically revised the manuscript. Z.Z. wrote the initial draft with contributions from T.T. and M.G. All authors reviewed, edited and approved the final manuscript. Z.Z., T.T. and M.G. contributed equally. J.H. and K.J. jointly supervised the work.</w:t>
      </w:r>
    </w:p>
    <w:p>
      <w:pPr>
        <w:pStyle w:val="Heading1"/>
      </w:pPr>
      <w:r>
        <w:t>Funding</w:t>
      </w:r>
    </w:p>
    <w:p>
      <w:pPr>
        <w:jc w:val="both"/>
      </w:pPr>
      <w:r>
        <w:t>This research received no specific grant from any funding agency in the public, commercial or not-for-profit sectors.</w:t>
      </w:r>
    </w:p>
    <w:p>
      <w:pPr>
        <w:pStyle w:val="Heading1"/>
      </w:pPr>
      <w:r>
        <w:t>Competing interests</w:t>
      </w:r>
    </w:p>
    <w:p>
      <w:pPr>
        <w:jc w:val="both"/>
      </w:pPr>
      <w:r>
        <w:t>The authors declare no competing interests.</w:t>
      </w:r>
    </w:p>
    <w:p>
      <w:pPr>
        <w:pStyle w:val="Heading1"/>
      </w:pPr>
      <w:r>
        <w:t>Ethics statement</w:t>
      </w:r>
    </w:p>
    <w:p>
      <w:pPr>
        <w:jc w:val="both"/>
      </w:pPr>
      <w:r>
        <w:t>This study re-analyzed public de-identified datasets. No new human participant recruitment, biospecimen collection or animal experiments were performed for this computational analysis.</w:t>
      </w:r>
    </w:p>
    <w:p>
      <w:pPr>
        <w:pStyle w:val="Heading1"/>
      </w:pPr>
      <w:r>
        <w:t>Supplementary information</w:t>
      </w:r>
    </w:p>
    <w:p>
      <w:pPr>
        <w:jc w:val="both"/>
      </w:pPr>
      <w:r>
        <w:t>Supplementary Tables 1-8 provide dataset metadata, gene modules, random-core results, stronger-null sensitivity, anchor-component comparison, module-overlap sensitivity, lymph-node leave-one-out analysis, NMF rank stability and mechanism-triangulation scoring thresholds. Additional source-data and provenance files are listed in the Data availability and Code availability sections.</w:t>
      </w:r>
    </w:p>
    <w:p>
      <w:pPr>
        <w:pStyle w:val="Heading1"/>
      </w:pPr>
      <w:r>
        <w:t>Figure legends</w:t>
      </w:r>
    </w:p>
    <w:p>
      <w:pPr>
        <w:pStyle w:val="Heading2"/>
      </w:pPr>
      <w:r>
        <w:t>Figure 1 | CAF-myeloid cores mark reproducible spatial architectures in PDAC.</w:t>
      </w:r>
    </w:p>
    <w:p>
      <w:pPr>
        <w:jc w:val="both"/>
      </w:pPr>
      <w:r>
        <w:t xml:space="preserve">This figure establishes the discovery-level spatial model: CAF-myeloid-high regions behave as reproducible tissue cores rather than arbitrary same-size regions. </w:t>
      </w:r>
      <w:r>
        <w:rPr>
          <w:b/>
        </w:rPr>
        <w:t>a,</w:t>
      </w:r>
      <w:r>
        <w:t xml:space="preserve"> Cohort scale and evidence roles across public PDAC ST-H&amp;E, validation and cell-resolution datasets. </w:t>
      </w:r>
      <w:r>
        <w:rPr>
          <w:b/>
        </w:rPr>
        <w:t>b,</w:t>
      </w:r>
      <w:r>
        <w:t xml:space="preserve"> Random-core specificity across GSE282302, GSE274103 and GSE235315. Bars show the median observed-minus-random distance-to-core Spearman correlation; more negative values indicate stronger enrichment near CAF-myeloid cores than near matched random cores. Labels indicate the number of samples in which the observed CAF-core gradient was more negative than the matched random-core median. </w:t>
      </w:r>
      <w:r>
        <w:rPr>
          <w:b/>
        </w:rPr>
        <w:t>c,</w:t>
      </w:r>
      <w:r>
        <w:t xml:space="preserve"> CAF-core threshold sensitivity across top 15%, top 10% and top 5% within-sample core definitions. </w:t>
      </w:r>
      <w:r>
        <w:rPr>
          <w:b/>
        </w:rPr>
        <w:t>d,</w:t>
      </w:r>
      <w:r>
        <w:t xml:space="preserve"> Representative same-size random-core null intervals showing observed CAF-core gradients against matched random-core distributions. </w:t>
      </w:r>
      <w:r>
        <w:rPr>
          <w:b/>
        </w:rPr>
        <w:t>e,</w:t>
      </w:r>
      <w:r>
        <w:t xml:space="preserve"> Median program decay from CAF-core to far regions across discovery/support cohorts. </w:t>
      </w:r>
      <w:r>
        <w:rPr>
          <w:b/>
        </w:rPr>
        <w:t>f-j,</w:t>
      </w:r>
      <w:r>
        <w:t xml:space="preserve"> Representative post-neoadjuvant GSE282302 section showing H&amp;E, CAF-core rings, CAF-myeloid, IFN/MHC, tumor-aggressive and immune-core spatial programs. Extended Data Fig. 1 provides additional robustness views, and Extended Data Fig. 7 plus Supplementary Tables 4, 4B and 5 add contiguous-null, anchor-component and marker-overlap sensitivity analyses. This figure supports spatial organization around CAF-myeloid cores but not causality, mature TLS formation or clinical outcome prediction.</w:t>
      </w:r>
    </w:p>
    <w:p>
      <w:pPr>
        <w:pStyle w:val="Heading2"/>
      </w:pPr>
      <w:r>
        <w:t>Figure 2 | Metastatic-site remodeling suggests lymph-node immune decoupling.</w:t>
      </w:r>
    </w:p>
    <w:p>
      <w:pPr>
        <w:jc w:val="both"/>
      </w:pPr>
      <w:r>
        <w:t xml:space="preserve">This figure tests whether metastatic site changes the relationship between CAF-myeloid cores, immune programs and tumor-aggressive programs. </w:t>
      </w:r>
      <w:r>
        <w:rPr>
          <w:b/>
        </w:rPr>
        <w:t>a,</w:t>
      </w:r>
      <w:r>
        <w:t xml:space="preserve"> GSE272362 validation atlas composition by specimen site. </w:t>
      </w:r>
      <w:r>
        <w:rPr>
          <w:b/>
        </w:rPr>
        <w:t>b,</w:t>
      </w:r>
      <w:r>
        <w:t xml:space="preserve"> Random-core validation across primary tumors, liver metastases and lymph-node metastases. Primary tumors and liver metastases reproduce CAF-core-centered IFN/MHC, immune-core and tumor-aggressive organization. The five lymph-node metastases show more consistent tumor-aggressive CAF association than IFN/MHC or immune-core CAF association. </w:t>
      </w:r>
      <w:r>
        <w:rPr>
          <w:b/>
        </w:rPr>
        <w:t>c,</w:t>
      </w:r>
      <w:r>
        <w:t xml:space="preserve"> CAF-core subprogram decomposition across specimen sites. Negative values indicate enrichment nearer to the CAF core. </w:t>
      </w:r>
      <w:r>
        <w:rPr>
          <w:b/>
        </w:rPr>
        <w:t>d,</w:t>
      </w:r>
      <w:r>
        <w:t xml:space="preserve"> Immune-decoupling index across tissue contexts, defined as stromal-tumor CAF-core enrichment minus immune CAF-core enrichment; higher values indicate retained stromal/tumor coupling with weaker immune-core coupling. </w:t>
      </w:r>
      <w:r>
        <w:rPr>
          <w:b/>
        </w:rPr>
        <w:t>e-p,</w:t>
      </w:r>
      <w:r>
        <w:t xml:space="preserve"> Representative primary, liver-metastatic and lymph-node-metastatic sections showing H&amp;E plus CAF-core rings, IFN/MHC, immune-core and tumor-aggressive programs. Extended Data Fig. 2 summarizes metastatic-site remodeling, Extended Data Fig. 8 displays all five lymph-node metastasis maps, and Supplementary Table 6 provides individual-sample and leave-one-out sensitivity results. This figure supports lymph-node immune decoupling as a five-sample, hypothesis-generating lead, not a clinical subtype or causal mechanism.</w:t>
      </w:r>
    </w:p>
    <w:p>
      <w:pPr>
        <w:pStyle w:val="Heading2"/>
      </w:pPr>
      <w:r>
        <w:t>Figure 3 | CAF-core ecotypes nominate interface and perturbation-priority axes.</w:t>
      </w:r>
    </w:p>
    <w:p>
      <w:pPr>
        <w:jc w:val="both"/>
      </w:pPr>
      <w:r>
        <w:t xml:space="preserve">This figure asks what biological states and interfaces are encoded by the CAF-core architecture. </w:t>
      </w:r>
      <w:r>
        <w:rPr>
          <w:b/>
        </w:rPr>
        <w:t>a,</w:t>
      </w:r>
      <w:r>
        <w:t xml:space="preserve"> CAF-core NMF ecotype loadings across stromal, myeloid, immune and tumor-state programs; labels are annotations based on dominant loadings. </w:t>
      </w:r>
      <w:r>
        <w:rPr>
          <w:b/>
        </w:rPr>
        <w:t>b,</w:t>
      </w:r>
      <w:r>
        <w:t xml:space="preserve"> Context-to-ecotype architecture summarizing the distribution of dominant CAF-core ecotypes across analyzed tissue contexts. </w:t>
      </w:r>
      <w:r>
        <w:rPr>
          <w:b/>
        </w:rPr>
        <w:t>c,</w:t>
      </w:r>
      <w:r>
        <w:t xml:space="preserve"> Dominant CAF-core ecotype composition by cohort or specimen context. </w:t>
      </w:r>
      <w:r>
        <w:rPr>
          <w:b/>
        </w:rPr>
        <w:t>d,</w:t>
      </w:r>
      <w:r>
        <w:t xml:space="preserve"> Immune-decoupling index by dominant CAF-core ecotype, defined as stromal-tumor CAF-core coupling minus immune CAF-core coupling. </w:t>
      </w:r>
      <w:r>
        <w:rPr>
          <w:b/>
        </w:rPr>
        <w:t>e,</w:t>
      </w:r>
      <w:r>
        <w:t xml:space="preserve"> Candidate-axis enrichment in CAF cores and tumor-stroma interfaces. </w:t>
      </w:r>
      <w:r>
        <w:rPr>
          <w:b/>
        </w:rPr>
        <w:t>f,</w:t>
      </w:r>
      <w:r>
        <w:t xml:space="preserve"> Spearman correlations between candidate-axis CAF-core enrichment and the immune-decoupling index across samples. </w:t>
      </w:r>
      <w:r>
        <w:rPr>
          <w:b/>
        </w:rPr>
        <w:t>g-r,</w:t>
      </w:r>
      <w:r>
        <w:t xml:space="preserve"> Representative primary tumor, liver-metastasis and lymph-node-metastasis spatial maps showing compartment assignments, SPP1/TAM, TGF-beta and tumor-aggressive programs; cyan outlines mark tumor-stroma interface spots. Extended Data Figs. 3, 4 and 6 add marker/reference-projection, mechanism-priority, core-to-interface gradient and geometry analyses; Extended Data Fig. 7 and Supplementary Table 7 provide NMF rank-sensitivity evidence. This figure nominates pathway-level axes and representative spatial states for perturbation follow-up, not causal ligand-receptor signaling.</w:t>
      </w:r>
    </w:p>
    <w:p>
      <w:pPr>
        <w:pStyle w:val="Heading2"/>
      </w:pPr>
      <w:r>
        <w:t>Figure 4 | Independent Visium and Xenium data bound the CAF-domain model.</w:t>
      </w:r>
    </w:p>
    <w:p>
      <w:pPr>
        <w:jc w:val="both"/>
      </w:pPr>
      <w:r>
        <w:t xml:space="preserve">This figure tests whether the CAF-domain model generalizes beyond the discovery datasets while clarifying where it does not. </w:t>
      </w:r>
      <w:r>
        <w:rPr>
          <w:b/>
        </w:rPr>
        <w:t>a,</w:t>
      </w:r>
      <w:r>
        <w:t xml:space="preserve"> External validation scale across GSE274557 Visium primary and metastatic tissue contexts and GSE274673 Xenium treatment contexts. </w:t>
      </w:r>
      <w:r>
        <w:rPr>
          <w:b/>
        </w:rPr>
        <w:t>b,</w:t>
      </w:r>
      <w:r>
        <w:t xml:space="preserve"> GSE274557 Visium CAF-core validation across primary PDAC, liver metastasis, lung metastasis and peritoneal metastasis. Tiles show median observed-minus-random distance-to-CAF-core Spearman rho after 1,000 same-size random cores per sample, with labels showing support counts. </w:t>
      </w:r>
      <w:r>
        <w:rPr>
          <w:b/>
        </w:rPr>
        <w:t>c,</w:t>
      </w:r>
      <w:r>
        <w:t xml:space="preserve"> GSE274673 Xenium fixed-anchor cohort summary for CAF-APC and CAF-SPP1/TAM anchors. </w:t>
      </w:r>
      <w:r>
        <w:rPr>
          <w:b/>
        </w:rPr>
        <w:t>d,</w:t>
      </w:r>
      <w:r>
        <w:t xml:space="preserve"> CAF-SPP1/TAM anchor deltas across all six Xenium sections. Negative values indicate stronger target-program centering around CAF-domain anchors than around matched random cell anchors. </w:t>
      </w:r>
      <w:r>
        <w:rPr>
          <w:b/>
        </w:rPr>
        <w:t>e-l,</w:t>
      </w:r>
      <w:r>
        <w:t xml:space="preserve"> Representative treatment-naive and chemoradiotherapy-treated Xenium sections showing CAF-SPP1/TAM anchor, SPP1/TAM, IFN/APC and tumor epithelial programs at cell resolution. Extended Data Figs. 1, 3, 5 and 6 add Visium support, cell-state attribution, pathology/TCGA context and cell-neighborhood analyses. This figure supports independent Visium and cell-resolution validation of CAF-domain immune/myeloid organization but does not establish lymph-node-specific validation in GSE274557, direct CAF-to-tumor epithelial proximity in GSE274673 or causal signaling.</w:t>
      </w:r>
    </w:p>
    <w:p>
      <w:pPr>
        <w:pStyle w:val="Heading1"/>
      </w:pPr>
      <w:r>
        <w:t>Extended Data figure legends</w:t>
      </w:r>
    </w:p>
    <w:p>
      <w:pPr>
        <w:pStyle w:val="Heading2"/>
      </w:pPr>
      <w:r>
        <w:t>Extended Data Figure 1 | Spatial specificity and robustness of CAF-myeloid cores.</w:t>
      </w:r>
    </w:p>
    <w:p>
      <w:pPr>
        <w:jc w:val="both"/>
      </w:pPr>
      <w:r>
        <w:t xml:space="preserve">Regenerated module-style synthesis of the spatial-specificity evidence. </w:t>
      </w:r>
      <w:r>
        <w:rPr>
          <w:b/>
        </w:rPr>
        <w:t>a,</w:t>
      </w:r>
      <w:r>
        <w:t xml:space="preserve"> Cross-cohort random-core specificity for CAF-core-centered target programs. </w:t>
      </w:r>
      <w:r>
        <w:rPr>
          <w:b/>
        </w:rPr>
        <w:t>b,</w:t>
      </w:r>
      <w:r>
        <w:t xml:space="preserve"> CAF-core threshold sensitivity across top 15%, top 10% and top 5% definitions. </w:t>
      </w:r>
      <w:r>
        <w:rPr>
          <w:b/>
        </w:rPr>
        <w:t>c,d,</w:t>
      </w:r>
      <w:r>
        <w:t xml:space="preserve"> Distance-gradient and core-to-far summaries from CAF-core-proximal to distal regions. </w:t>
      </w:r>
      <w:r>
        <w:rPr>
          <w:b/>
        </w:rPr>
        <w:t>e,f,</w:t>
      </w:r>
      <w:r>
        <w:t xml:space="preserve"> Independent GSE274557 Visium and GSE274673 Xenium support layers. </w:t>
      </w:r>
      <w:r>
        <w:rPr>
          <w:b/>
        </w:rPr>
        <w:t>g,</w:t>
      </w:r>
      <w:r>
        <w:t xml:space="preserve"> Cross-context support fraction. Revision Supplementary Tables 4, 4B and 5 add contiguous-null, anchor-component and gene-overlap sensitivity evidence. This module supports spatial specificity and robustness to null-core and threshold perturbations; it remains observational and program-defined.</w:t>
      </w:r>
    </w:p>
    <w:p>
      <w:pPr>
        <w:pStyle w:val="Heading2"/>
      </w:pPr>
      <w:r>
        <w:t>Extended Data Figure 2 | Metastatic-site remodeling and lymph-node immune decoupling.</w:t>
      </w:r>
    </w:p>
    <w:p>
      <w:pPr>
        <w:jc w:val="both"/>
      </w:pPr>
      <w:r>
        <w:t xml:space="preserve">Regenerated module-style synthesis of the GSE272362 metastatic-site analysis. </w:t>
      </w:r>
      <w:r>
        <w:rPr>
          <w:b/>
        </w:rPr>
        <w:t>a,</w:t>
      </w:r>
      <w:r>
        <w:t xml:space="preserve"> Site-level scale across primary tumors, liver metastases and lymph-node metastases. </w:t>
      </w:r>
      <w:r>
        <w:rPr>
          <w:b/>
        </w:rPr>
        <w:t>b,</w:t>
      </w:r>
      <w:r>
        <w:t xml:space="preserve"> Same-size random-core support for IFN/MHC, immune-core and tumor-aggressive programs by site. </w:t>
      </w:r>
      <w:r>
        <w:rPr>
          <w:b/>
        </w:rPr>
        <w:t>c,</w:t>
      </w:r>
      <w:r>
        <w:t xml:space="preserve"> CAF-core subprogram distance gradients. </w:t>
      </w:r>
      <w:r>
        <w:rPr>
          <w:b/>
        </w:rPr>
        <w:t>d,</w:t>
      </w:r>
      <w:r>
        <w:t xml:space="preserve"> Stromal-tumor coupling, immune-core coupling and immune-decoupling index. </w:t>
      </w:r>
      <w:r>
        <w:rPr>
          <w:b/>
        </w:rPr>
        <w:t>e,f,</w:t>
      </w:r>
      <w:r>
        <w:t xml:space="preserve"> Patient-matched primary-to-metastasis deltas where available. </w:t>
      </w:r>
      <w:r>
        <w:rPr>
          <w:b/>
        </w:rPr>
        <w:t>g,</w:t>
      </w:r>
      <w:r>
        <w:t xml:space="preserve"> Interpretation boundary for the lymph-node result. Revision Supplementary Table 6 adds individual LN sample and leave-one-out sensitivity evidence. This module supports a metastatic-site immune-remodeling lead, not a clinical subtype, prognosis marker or causal mechanism.</w:t>
      </w:r>
    </w:p>
    <w:p>
      <w:pPr>
        <w:pStyle w:val="Heading2"/>
      </w:pPr>
      <w:r>
        <w:t>Extended Data Figure 3 | Cell-state interpretation and multi-resolution validation.</w:t>
      </w:r>
    </w:p>
    <w:p>
      <w:pPr>
        <w:jc w:val="both"/>
      </w:pPr>
      <w:r>
        <w:t xml:space="preserve">Regenerated module-style synthesis of marker, reference-projection, strict NNLS and Xenium evidence. </w:t>
      </w:r>
      <w:r>
        <w:rPr>
          <w:b/>
        </w:rPr>
        <w:t>a,b,</w:t>
      </w:r>
      <w:r>
        <w:t xml:space="preserve"> Marker-state CAF-core enrichment and spot-level association with CAF-myeloid score. </w:t>
      </w:r>
      <w:r>
        <w:rPr>
          <w:b/>
        </w:rPr>
        <w:t>c,d,</w:t>
      </w:r>
      <w:r>
        <w:t xml:space="preserve"> Marker-level, full-reference and strict NNLS associations with immune decoupling. </w:t>
      </w:r>
      <w:r>
        <w:rPr>
          <w:b/>
        </w:rPr>
        <w:t>e,</w:t>
      </w:r>
      <w:r>
        <w:t xml:space="preserve"> Small-reference versus full-reference projection stability. </w:t>
      </w:r>
      <w:r>
        <w:rPr>
          <w:b/>
        </w:rPr>
        <w:t>f,g,</w:t>
      </w:r>
      <w:r>
        <w:t xml:space="preserve"> Xenium CAF-domain support and signature/sample coverage. </w:t>
      </w:r>
      <w:r>
        <w:rPr>
          <w:b/>
        </w:rPr>
        <w:t>h,</w:t>
      </w:r>
      <w:r>
        <w:t xml:space="preserve"> Interpretation boundary distinguishing supported cell-state interpretation from unsupported single-cell-resolved ground truth. This module strengthens cellular interpretation but does not replace immunostaining, image segmentation or orthogonal cell-abundance validation.</w:t>
      </w:r>
    </w:p>
    <w:p>
      <w:pPr>
        <w:pStyle w:val="Heading2"/>
      </w:pPr>
      <w:r>
        <w:t>Extended Data Figure 4 | Mechanism, interface biology and perturbation-priority axes.</w:t>
      </w:r>
    </w:p>
    <w:p>
      <w:pPr>
        <w:jc w:val="both"/>
      </w:pPr>
      <w:r>
        <w:t xml:space="preserve">Regenerated module-style synthesis of mechanism nomination. </w:t>
      </w:r>
      <w:r>
        <w:rPr>
          <w:b/>
        </w:rPr>
        <w:t>a,</w:t>
      </w:r>
      <w:r>
        <w:t xml:space="preserve"> Evidence-layer matrix across matrix-integrin, SPP1-CD44/integrin, TGF-beta/TGFBR and IL6-OSM/LIF-JAKSTAT. </w:t>
      </w:r>
      <w:r>
        <w:rPr>
          <w:b/>
        </w:rPr>
        <w:t>b,</w:t>
      </w:r>
      <w:r>
        <w:t xml:space="preserve"> Perturbation-priority rank. </w:t>
      </w:r>
      <w:r>
        <w:rPr>
          <w:b/>
        </w:rPr>
        <w:t>c,d,</w:t>
      </w:r>
      <w:r>
        <w:t xml:space="preserve"> Targeted-gene CAF-core and interface enrichment across contexts. </w:t>
      </w:r>
      <w:r>
        <w:rPr>
          <w:b/>
        </w:rPr>
        <w:t>e,</w:t>
      </w:r>
      <w:r>
        <w:t xml:space="preserve"> Focused ligand-core, receptor-interface, response-interface and directional metrics. </w:t>
      </w:r>
      <w:r>
        <w:rPr>
          <w:b/>
        </w:rPr>
        <w:t>f,</w:t>
      </w:r>
      <w:r>
        <w:t xml:space="preserve"> Directional-score associations with immune decoupling and stromal-tumor coupling. </w:t>
      </w:r>
      <w:r>
        <w:rPr>
          <w:b/>
        </w:rPr>
        <w:t>g,</w:t>
      </w:r>
      <w:r>
        <w:t xml:space="preserve"> External-context anchors. </w:t>
      </w:r>
      <w:r>
        <w:rPr>
          <w:b/>
        </w:rPr>
        <w:t>h,</w:t>
      </w:r>
      <w:r>
        <w:t xml:space="preserve"> Interpretation boundary for candidate mechanism prioritization. Supplementary Table 8 provides the scoring metrics, thresholds and assigned evidence scores. This module nominates matrix-integrin and SPP1-CD44/integrin as co-leading perturbation-ready axes, but it does not establish causal ligand-receptor signaling.</w:t>
      </w:r>
    </w:p>
    <w:p>
      <w:pPr>
        <w:pStyle w:val="Heading2"/>
      </w:pPr>
      <w:r>
        <w:t>Extended Data Figure 5 | Pathology bridge, TCGA context and TLS/claim boundaries.</w:t>
      </w:r>
    </w:p>
    <w:p>
      <w:pPr>
        <w:jc w:val="both"/>
      </w:pPr>
      <w:r>
        <w:t xml:space="preserve">Regenerated module-style synthesis of translational context and claim boundaries. </w:t>
      </w:r>
      <w:r>
        <w:rPr>
          <w:b/>
        </w:rPr>
        <w:t>a,b,</w:t>
      </w:r>
      <w:r>
        <w:t xml:space="preserve"> H&amp;E patch-model performance and feature-direction map. </w:t>
      </w:r>
      <w:r>
        <w:rPr>
          <w:b/>
        </w:rPr>
        <w:t>c,d,</w:t>
      </w:r>
      <w:r>
        <w:t xml:space="preserve"> TCGA PAAD bulk-axis correlation and exploratory univariable survival context. </w:t>
      </w:r>
      <w:r>
        <w:rPr>
          <w:b/>
        </w:rPr>
        <w:t>e,f,</w:t>
      </w:r>
      <w:r>
        <w:t xml:space="preserve"> TLS-compatibility and immune-compartment stress testing. </w:t>
      </w:r>
      <w:r>
        <w:rPr>
          <w:b/>
        </w:rPr>
        <w:t>g,</w:t>
      </w:r>
      <w:r>
        <w:t xml:space="preserve"> Boundary map for claim scope. This module supports translational plausibility and explicit claim control; it does not establish mature TLS biology, clinical-grade pathology prediction, prognosis, therapy response, spatial localization from TCGA or causal signaling.</w:t>
      </w:r>
    </w:p>
    <w:p>
      <w:pPr>
        <w:pStyle w:val="Heading2"/>
      </w:pPr>
      <w:r>
        <w:t>Extended Data Figure 6 | Deep spatial architecture and mechanism-deepening evidence.</w:t>
      </w:r>
    </w:p>
    <w:p>
      <w:pPr>
        <w:jc w:val="both"/>
      </w:pPr>
      <w:r>
        <w:t xml:space="preserve">Regenerated module-style synthesis of ED30-ED33 deepening analyses. </w:t>
      </w:r>
      <w:r>
        <w:rPr>
          <w:b/>
        </w:rPr>
        <w:t>a,</w:t>
      </w:r>
      <w:r>
        <w:t xml:space="preserve"> Evidence chain linking anchor specificity, Xenium cell-neighborhoods, core-to-interface gradients and CAF-core geometry. </w:t>
      </w:r>
      <w:r>
        <w:rPr>
          <w:b/>
        </w:rPr>
        <w:t>b,</w:t>
      </w:r>
      <w:r>
        <w:t xml:space="preserve"> CAF-myeloid core specificity against alternative biological anchors and random same-size anchors. </w:t>
      </w:r>
      <w:r>
        <w:rPr>
          <w:b/>
        </w:rPr>
        <w:t>c,</w:t>
      </w:r>
      <w:r>
        <w:t xml:space="preserve"> Xenium CAF-domain neighborhood enrichment and depletion relative to matched random neighborhoods. </w:t>
      </w:r>
      <w:r>
        <w:rPr>
          <w:b/>
        </w:rPr>
        <w:t>d,</w:t>
      </w:r>
      <w:r>
        <w:t xml:space="preserve"> Xenium cell-state adjacency network. </w:t>
      </w:r>
      <w:r>
        <w:rPr>
          <w:b/>
        </w:rPr>
        <w:t>e,</w:t>
      </w:r>
      <w:r>
        <w:t xml:space="preserve"> Pooled core-to-interface program transition curves. </w:t>
      </w:r>
      <w:r>
        <w:rPr>
          <w:b/>
        </w:rPr>
        <w:t>f,</w:t>
      </w:r>
      <w:r>
        <w:t xml:space="preserve"> CAF-core geometry by tissue context. </w:t>
      </w:r>
      <w:r>
        <w:rPr>
          <w:b/>
        </w:rPr>
        <w:t>g,</w:t>
      </w:r>
      <w:r>
        <w:t xml:space="preserve"> Geometry-biological association lollipop plot, including a negative boundary control. </w:t>
      </w:r>
      <w:r>
        <w:rPr>
          <w:b/>
        </w:rPr>
        <w:t>h,</w:t>
      </w:r>
      <w:r>
        <w:t xml:space="preserve"> Claim boundary for spatial architecture and mechanism-priority language. This module supports a specific, cell-neighborhood-supported, gradient-structured and geometry-modulated CAF-myeloid tissue architecture, but it does not establish causal signaling without perturbation.</w:t>
      </w:r>
    </w:p>
    <w:p>
      <w:pPr>
        <w:pStyle w:val="Heading2"/>
      </w:pPr>
      <w:r>
        <w:t>Extended Data Figure 7 | Specificity and sensitivity analyses for CAF-myeloid spatial architecture.</w:t>
      </w:r>
    </w:p>
    <w:p>
      <w:pPr>
        <w:jc w:val="both"/>
      </w:pPr>
      <w:r>
        <w:t xml:space="preserve">This figure consolidates five sensitivity analyses that address major alternative explanations for the CAF-myeloid spatial-architecture model. </w:t>
      </w:r>
      <w:r>
        <w:rPr>
          <w:b/>
        </w:rPr>
        <w:t>a,</w:t>
      </w:r>
      <w:r>
        <w:t xml:space="preserve"> Spatially contiguous random-core null across major cohorts and tissue contexts. Tiles show observed-minus-contiguous-null median distance-to-core Spearman rho; labels show support n/N. More negative values indicate stronger enrichment near the observed CAF-myeloid core than near a same-size contiguous random tissue region. </w:t>
      </w:r>
      <w:r>
        <w:rPr>
          <w:b/>
        </w:rPr>
        <w:t>b,</w:t>
      </w:r>
      <w:r>
        <w:t xml:space="preserve"> CAF-only, myeloid-only, combined CAF-myeloid, immune-high and tumor-high anchor comparison. Dot color shows median delta versus matched random anchors and dot area scales with support fraction. </w:t>
      </w:r>
      <w:r>
        <w:rPr>
          <w:b/>
        </w:rPr>
        <w:t>c,</w:t>
      </w:r>
      <w:r>
        <w:t xml:space="preserve"> Gene-module overlap sensitivity for target programs. Bars show the percentage of target genes shared with the CAF-myeloid core definition; diamonds show overlap-sensitive deltas. </w:t>
      </w:r>
      <w:r>
        <w:rPr>
          <w:b/>
        </w:rPr>
        <w:t>d,</w:t>
      </w:r>
      <w:r>
        <w:t xml:space="preserve"> Individual lymph-node metastasis samples and leave-one-out range for IFN/MHC, immune-core and tumor-aggressive deltas. </w:t>
      </w:r>
      <w:r>
        <w:rPr>
          <w:b/>
        </w:rPr>
        <w:t>e,</w:t>
      </w:r>
      <w:r>
        <w:t xml:space="preserve"> NMF rank 2-8 sensitivity showing reconstruction explained fraction and assignment stability. Together, these panels test whether the CAF-myeloid architecture could be explained by contiguous tissue structure, single-component anchors, marker overlap, single-sample dominance or arbitrary NMF rank selection, while preserving the non-causal boundary of the study.</w:t>
      </w:r>
    </w:p>
    <w:p>
      <w:pPr>
        <w:pStyle w:val="Heading2"/>
      </w:pPr>
      <w:r>
        <w:t>Extended Data Figure 8 | Individual lymph-node metastasis spatial maps.</w:t>
      </w:r>
    </w:p>
    <w:p>
      <w:pPr>
        <w:jc w:val="both"/>
      </w:pPr>
      <w:r>
        <w:t xml:space="preserve">This figure displays all five GSE272362 lymph-node metastasis samples used for the immune-decoupling analysis. Rows are ordered by immune-decoupling index. </w:t>
      </w:r>
      <w:r>
        <w:rPr>
          <w:b/>
        </w:rPr>
        <w:t>a,e,i,m,q,</w:t>
      </w:r>
      <w:r>
        <w:t xml:space="preserve"> H&amp;E images overlaid with top 10% CAF-myeloid core spots, shown as red rings. </w:t>
      </w:r>
      <w:r>
        <w:rPr>
          <w:b/>
        </w:rPr>
        <w:t>b,f,j,n,r,</w:t>
      </w:r>
      <w:r>
        <w:t xml:space="preserve"> IFN/MHC program maps overlaid on the same H&amp;E backgrounds; black rings mark the CAF core. </w:t>
      </w:r>
      <w:r>
        <w:rPr>
          <w:b/>
        </w:rPr>
        <w:t>c,g,k,o,s,</w:t>
      </w:r>
      <w:r>
        <w:t xml:space="preserve"> Immune-core program maps. </w:t>
      </w:r>
      <w:r>
        <w:rPr>
          <w:b/>
        </w:rPr>
        <w:t>d,h,l,p,t,</w:t>
      </w:r>
      <w:r>
        <w:t xml:space="preserve"> Tumor-aggressive program maps. Right-side annotations show per-sample IFN/MHC, immune-core and tumor-aggressive observed-minus-random-core deltas, immune-decoupling index, dominant CAF-core ecotype label, spot count and H&amp;E coordinate-match count. Negative delta indicates stronger CAF-core centering relative to same-size random cores, whereas positive or near-zero delta indicates weak or absent CAF-core centering. Coordinate-match count reports the number of plotted spatial spots matched to the corresponding H&amp;E coordinate system. This figure supports the interpretation that lymph-node metastases show more consistent tumor-aggressive than immune/IFN CAF-core coupling while retaining substantial per-sample heterogeneity; it remains a five-sample, hypothesis-generating visual validation rather than a definitive lymph-node subtype.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29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29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