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0B2545"/>
          <w:sz w:val="36"/>
        </w:rPr>
        <w:t>Supplementary Information</w:t>
      </w:r>
    </w:p>
    <w:p>
      <w:pPr>
        <w:pStyle w:val="Heading1"/>
      </w:pPr>
      <w:r>
        <w:t>Supplementary Figure Guide</w:t>
      </w:r>
    </w:p>
    <w:p>
      <w:pPr>
        <w:jc w:val="left"/>
      </w:pPr>
      <w:r>
        <w:rPr>
          <w:rFonts w:ascii="Calibri" w:hAnsi="Calibri"/>
          <w:b w:val="0"/>
          <w:sz w:val="22"/>
        </w:rPr>
        <w:t>For a Nature Communications-style submission, the regenerated module figures can be submitted as Supplementary Figures 1-6 instead of Extended Data Figures 1-6. The scientific content and source-data mapping should remain unchanged.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4F6F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Nature-family item</w:t>
            </w:r>
          </w:p>
        </w:tc>
        <w:tc>
          <w:tcPr>
            <w:tcW w:type="dxa" w:w="3120"/>
            <w:shd w:fill="F4F6F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Nature Communications equivalent</w:t>
            </w:r>
          </w:p>
        </w:tc>
        <w:tc>
          <w:tcPr>
            <w:tcW w:type="dxa" w:w="3120"/>
            <w:shd w:fill="F4F6F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file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Extended Data Fig. 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Supplementary Fig. 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`results/figures/submission/supplementary_module1_spatial_specificity_robustness.pdf`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Extended Data Fig. 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Supplementary Fig. 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`results/figures/submission/supplementary_module2_metastatic_immune_decoupling.pdf`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Extended Data Fig. 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Supplementary Fig. 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`results/figures/submission/supplementary_module3_cell_state_multiresolution_validation.pdf`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Extended Data Fig. 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Supplementary Fig. 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`results/figures/submission/supplementary_module4_mechanism_interface_priority.pdf`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Extended Data Fig. 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Supplementary Fig. 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`results/figures/submission/supplementary_module5_pathology_tcga_tls_boundaries.pdf`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Extended Data Fig. 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Supplementary Fig. 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`results/figures/submission/supplementary_module6_spatial_architecture_mechanism_deepening.pdf`</w:t>
            </w:r>
          </w:p>
        </w:tc>
      </w:tr>
    </w:tbl>
    <w:p/>
    <w:p>
      <w:pPr>
        <w:pStyle w:val="Heading1"/>
      </w:pPr>
      <w:r>
        <w:t>Source-Detail Figure Archive</w:t>
      </w:r>
    </w:p>
    <w:p>
      <w:pPr>
        <w:jc w:val="left"/>
      </w:pPr>
      <w:r>
        <w:rPr>
          <w:rFonts w:ascii="Calibri" w:hAnsi="Calibri"/>
          <w:b w:val="0"/>
          <w:sz w:val="22"/>
        </w:rPr>
        <w:t>The previous ED1-ED33 figure suite remains a provenance and inspection archive. It should not be submitted as 33 active Extended Data figures for a Nature-family journal unless the editor specifically requests additional source-detail plates.</w:t>
      </w:r>
    </w:p>
    <w:p>
      <w:pPr>
        <w:jc w:val="left"/>
      </w:pPr>
      <w:r>
        <w:rPr>
          <w:rFonts w:ascii="Calibri" w:hAnsi="Calibri"/>
          <w:b w:val="0"/>
          <w:sz w:val="22"/>
        </w:rPr>
        <w:t>Primary source mapping is maintained in `results/reports/submission_figure_captions_and_source_map.md`.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8"/>
      </w:rPr>
      <w:t>PDAC spatial ecology submission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48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