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36"/>
        </w:rPr>
        <w:t>CAF-myeloid stromal cores organize inflammatory and tumor-aggressive spatial programs in pancreatic cancer</w:t>
      </w:r>
    </w:p>
    <w:p>
      <w:pPr>
        <w:pStyle w:val="Heading1"/>
      </w:pPr>
      <w:r>
        <w:t>Abstract</w:t>
      </w:r>
    </w:p>
    <w:p>
      <w:pPr>
        <w:jc w:val="left"/>
      </w:pPr>
      <w:r>
        <w:rPr>
          <w:rFonts w:ascii="Calibri" w:hAnsi="Calibri"/>
          <w:b w:val="0"/>
          <w:sz w:val="22"/>
        </w:rPr>
        <w:t>Pancreatic ductal adenocarcinoma (PDAC) contains intertwined stromal, myeloid, lymphoid and epithelial tumor programs, but whether these programs form reproducible tissue architectures remains incompletely resolved. Here we re-analyzed public spatial transcriptomic, H&amp;E, Visium, Xenium, reference single-cell and TCGA bulk datasets across primary and metastatic PDAC. CAF-myeloid-high spots formed spatial cores around which IFN/MHC, immune-core and tumor-aggressive programs were enriched beyond 1,000 same-size random cores per sample and across CAF-core thresholds. Primary tumors and liver metastases reproduced this architecture, whereas lymph-node metastases preserved stromal-tumor CAF coupling but decoupled immune/IFN programs from the CAF core. CAF-core ecotypes, targeted-gene analyses, reference projection, strict NNLS deconvolution and cell-resolution Xenium validation supported myCAF/matrix and SPP1/TAM-rich core states. Anchor-specificity, cell-neighborhood, core-to-interface transition and CAF-core geometry analyses further supported a tissue-architecture model rather than a generic expression-intensity artifact. Interface and mechanism-triangulation analyses prioritized matrix-integrin and SPP1-CD44/integrin as perturbation-ready candidate axes. These results define a reproducible CAF-myeloid stromal-core architecture in PDAC and indicate that metastatic site is associated with selective immune reorganization around this stromal scaffold.</w:t>
      </w:r>
    </w:p>
    <w:p>
      <w:pPr>
        <w:pStyle w:val="Heading1"/>
      </w:pPr>
      <w:r>
        <w:t>Introduction</w:t>
      </w:r>
    </w:p>
    <w:p>
      <w:pPr>
        <w:jc w:val="left"/>
      </w:pPr>
      <w:r>
        <w:rPr>
          <w:rFonts w:ascii="Calibri" w:hAnsi="Calibri"/>
          <w:b w:val="0"/>
          <w:sz w:val="22"/>
        </w:rPr>
        <w:t>PDAC is shaped by a fibrotic and immune-rich microenvironment. Cancer-associated fibroblasts, myeloid cells, lymphoid populations and epithelial tumor states can all influence disease biology, but their spatial relationships are difficult to infer from dissociated data. Spatial transcriptomics provides an opportunity to test whether these programs form reproducible multicellular neighborhoods in tissue.</w:t>
      </w:r>
    </w:p>
    <w:p>
      <w:pPr>
        <w:jc w:val="left"/>
      </w:pPr>
      <w:r>
        <w:rPr>
          <w:rFonts w:ascii="Calibri" w:hAnsi="Calibri"/>
          <w:b w:val="0"/>
          <w:sz w:val="22"/>
        </w:rPr>
        <w:t>Many spatial studies describe regional enrichment or cell-type abundance. A stronger niche claim requires a more specific test. If one tissue compartment acts as an organizing core, its spatial gradients should exceed arbitrary tissue regions of the same size within the same sample. The conclusion should also remain stable when the core definition is perturbed.</w:t>
      </w:r>
    </w:p>
    <w:p>
      <w:pPr>
        <w:jc w:val="left"/>
      </w:pPr>
      <w:r>
        <w:rPr>
          <w:rFonts w:ascii="Calibri" w:hAnsi="Calibri"/>
          <w:b w:val="0"/>
          <w:sz w:val="22"/>
        </w:rPr>
        <w:t>Here we tested whether CAF-myeloid-rich regions act as spatial organizing cores in public PDAC ST-H&amp;E cohorts. We defined CAF-myeloid cores within each sample, compared their gradients with 1,000 random same-size cores, and tested sensitivity to core size. We then asked whether this architecture generalized in independent primary/metastatic Visium data and whether metastatic site changed immune coupling to the CAF core. Finally, we decomposed CAF-core ecotypes, connected candidate axes to marker-level, reference-projection, strict NNLS and Xenium support, and used anchor specificity, cell-neighborhood structure, core-to-interface transitions and CAF-core geometry to sharpen the tissue-architecture model.</w:t>
      </w:r>
    </w:p>
    <w:p>
      <w:pPr>
        <w:pStyle w:val="Heading1"/>
      </w:pPr>
      <w:r>
        <w:t>Results</w:t>
      </w:r>
    </w:p>
    <w:p>
      <w:pPr>
        <w:pStyle w:val="Heading2"/>
      </w:pPr>
      <w:r>
        <w:t>CAF-myeloid cores define reproducible spatial organizing regions in PDAC</w:t>
      </w:r>
    </w:p>
    <w:p>
      <w:pPr>
        <w:jc w:val="left"/>
      </w:pPr>
      <w:r>
        <w:rPr>
          <w:rFonts w:ascii="Calibri" w:hAnsi="Calibri"/>
          <w:b w:val="0"/>
          <w:sz w:val="22"/>
        </w:rPr>
        <w:t>We first tested whether CAF-myeloid-high regions behave as spatial organizing cores rather than arbitrary stromal-rich areas. We assembled a public PDAC spatial transcriptomics resource spanning discovery, validation and cell-resolution datasets (Fig. 1a). The discovery and support analysis included 108 post-neoadjuvant GSE282302 sections, five treatment-naive GSE274103 sections and a seven-sample GSE235315 paired-ST anchor. GSE272362, GSE274557 and GSE274673 were then used to test metastatic, external Visium and Xenium cell-resolution layers.</w:t>
      </w:r>
    </w:p>
    <w:p>
      <w:pPr>
        <w:jc w:val="left"/>
      </w:pPr>
      <w:r>
        <w:rPr>
          <w:rFonts w:ascii="Calibri" w:hAnsi="Calibri"/>
          <w:b w:val="0"/>
          <w:sz w:val="22"/>
        </w:rPr>
        <w:t>For every spot, we scored CAF-myeloid, IFN/MHC antigen-presentation, immune-core, tumor-aggressive and immune-maturity-like programs. Within each sample, the primary CAF-myeloid core was defined as the top 10% of spots by CAF-myeloid score. We then computed the Spearman correlation between each spot's normalized distance to the nearest CAF-core spot and each target program. Negative correlations indicate enrichment near the CAF core.</w:t>
      </w:r>
    </w:p>
    <w:p>
      <w:pPr>
        <w:jc w:val="left"/>
      </w:pPr>
      <w:r>
        <w:rPr>
          <w:rFonts w:ascii="Calibri" w:hAnsi="Calibri"/>
          <w:b w:val="0"/>
          <w:sz w:val="22"/>
        </w:rPr>
        <w:t>This design created a direct test of spatial specificity. For each sample, we compared the observed CAF-core gradient with 1,000 random same-size spatial cores. In GSE282302, observed CAF-myeloid cores were more strongly associated with IFN/MHC, immune-core and tumor-aggressive gradients than random cores in 93/108, 87/108 and 94/108 sections, respectively (Fig. 1b). The treatment-naive GSE274103 cohort showed the same direction in all five sections for all four target programs. GSE235315 reproduced the same pattern for IFN/MHC in 7/7 samples, tumor-aggressive programs in 6/7 samples and immune-core programs in 5/7 samples.</w:t>
      </w:r>
    </w:p>
    <w:p>
      <w:pPr>
        <w:jc w:val="left"/>
      </w:pPr>
      <w:r>
        <w:rPr>
          <w:rFonts w:ascii="Calibri" w:hAnsi="Calibri"/>
          <w:b w:val="0"/>
          <w:sz w:val="22"/>
        </w:rPr>
        <w:t>We next tested whether this result depended on the top 10% core definition. Repeating the analysis with top 15%, top 10% and top 5% CAF-myeloid cores preserved directionally negative distance-to-core gradients for the major target programs (Fig. 1c). This threshold analysis does not define a unique biological core size. Instead, it shows that the conclusion is not an artifact of one percentile cut-off.</w:t>
      </w:r>
    </w:p>
    <w:p>
      <w:pPr>
        <w:jc w:val="left"/>
      </w:pPr>
      <w:r>
        <w:rPr>
          <w:rFonts w:ascii="Calibri" w:hAnsi="Calibri"/>
          <w:b w:val="0"/>
          <w:sz w:val="22"/>
        </w:rPr>
        <w:t>Two additional views made the spatial effect interpretable. Representative same-size random-core null intervals showed observed CAF-core gradients outside matched random-core ranges (Fig. 1d and Extended Data Fig. 1). Distance-bin summaries showed declining IFN/MHC, immune-core and tumor-aggressive scores from CAF-core-proximal to CAF-core-distal regions (Fig. 1e and Extended Data Fig. 1). Representative post-neoadjuvant GSE282302 overlays showed that CAF-myeloid cores occupied coherent tissue regions and co-occurred with IFN/MHC, tumor-aggressive and immune-core gradients (Fig. 1f-j and Extended Data Fig. 1). Together, these results support a spatially specific CAF-myeloid organizing axis in PDAC. They do not establish causality, clinical prediction or mature tertiary lymphoid structure formation.</w:t>
      </w:r>
    </w:p>
    <w:p>
      <w:pPr>
        <w:pStyle w:val="Heading2"/>
      </w:pPr>
      <w:r>
        <w:t>Lymph-node metastases uncouple immune programs from CAF-myeloid cores</w:t>
      </w:r>
    </w:p>
    <w:p>
      <w:pPr>
        <w:jc w:val="left"/>
      </w:pPr>
      <w:r>
        <w:rPr>
          <w:rFonts w:ascii="Calibri" w:hAnsi="Calibri"/>
          <w:b w:val="0"/>
          <w:sz w:val="22"/>
        </w:rPr>
        <w:t>We next asked whether the CAF-core architecture persisted in metastatic PDAC and whether metastatic site changed its immune coupling. For GSE272362, specimen-site labels were derived from the RDS `Origin` metadata field and audited against GEO, the linked Nature Genetics article, the Zenodo record and local sample counts. The final analysis included 91,496 spots across 30 specimens (Fig. 2a).</w:t>
      </w:r>
    </w:p>
    <w:p>
      <w:pPr>
        <w:jc w:val="left"/>
      </w:pPr>
      <w:r>
        <w:rPr>
          <w:rFonts w:ascii="Calibri" w:hAnsi="Calibri"/>
          <w:b w:val="0"/>
          <w:sz w:val="22"/>
        </w:rPr>
        <w:t>Primary tumors reproduced the discovery pattern. Observed CAF-myeloid cores exceeded matched random cores in 9/10 primary tumors for IFN/MHC, 9/10 for immune core and 10/10 for tumor-aggressive programs (Fig. 2b). Liver metastases showed even stronger consistency: 12/12 samples supported IFN/MHC and immune-core CAF-core organization, and 11/12 supported tumor-aggressive organization.</w:t>
      </w:r>
    </w:p>
    <w:p>
      <w:pPr>
        <w:jc w:val="left"/>
      </w:pPr>
      <w:r>
        <w:rPr>
          <w:rFonts w:ascii="Calibri" w:hAnsi="Calibri"/>
          <w:b w:val="0"/>
          <w:sz w:val="22"/>
        </w:rPr>
        <w:t>Lymph-node metastases formed the key biological contrast. Tumor-aggressive gradients remained CAF-core associated in 5/5 lymph-node metastases. In contrast, IFN/MHC and immune-core programs were more CAF-core centered than random cores in only 2/5 samples each (Fig. 2b). Thus, lymph-node metastases did not simply fail validation. They preserved stromal-tumor coupling while changing immune organization.</w:t>
      </w:r>
    </w:p>
    <w:p>
      <w:pPr>
        <w:jc w:val="left"/>
      </w:pPr>
      <w:r>
        <w:rPr>
          <w:rFonts w:ascii="Calibri" w:hAnsi="Calibri"/>
          <w:b w:val="0"/>
          <w:sz w:val="22"/>
        </w:rPr>
        <w:t>Subprogram decomposition supported this interpretation. Across primary tumors, liver metastases and lymph-node metastases, myCAF, myeloid, SPP1/TREM2 TAM, TGF-beta, EMT/invasion and tumor-aggressive programs remained enriched nearer to CAF cores (Fig. 2c). In lymph-node metastases, however, IFN/MHC, immune-core, T-cell, B-cell and DC/APC programs shifted away from CAF-core-centered organization. The immune-decoupling index, defined as stromal-tumor CAF-core enrichment minus immune CAF-core enrichment, was highest in lymph-node metastases (Fig. 2d).</w:t>
      </w:r>
    </w:p>
    <w:p>
      <w:pPr>
        <w:jc w:val="left"/>
      </w:pPr>
      <w:r>
        <w:rPr>
          <w:rFonts w:ascii="Calibri" w:hAnsi="Calibri"/>
          <w:b w:val="0"/>
          <w:sz w:val="22"/>
        </w:rPr>
        <w:t>Large tissue-level overlays made this contrast visually inspectable. Primary tumor and liver-metastasis examples showed broad spatial concordance between CAF cores, IFN/MHC, tumor-aggressive and immune-core programs. The lymph-node-metastasis example retained tumor-aggressive CAF association but showed immune-rich regions that were not simply centered on CAF-myeloid cores (Fig. 2e-p and Extended Data Fig. 2). These data indicate that metastatic site is associated with altered immune coupling to an otherwise persistent CAF-myeloid stromal core.</w:t>
      </w:r>
    </w:p>
    <w:p>
      <w:pPr>
        <w:pStyle w:val="Heading2"/>
      </w:pPr>
      <w:r>
        <w:t>CAF-core ecotypes expose invasive-interface and immune-coupling axes</w:t>
      </w:r>
    </w:p>
    <w:p>
      <w:pPr>
        <w:jc w:val="left"/>
      </w:pPr>
      <w:r>
        <w:rPr>
          <w:rFonts w:ascii="Calibri" w:hAnsi="Calibri"/>
          <w:b w:val="0"/>
          <w:sz w:val="22"/>
        </w:rPr>
        <w:t>We then asked what biological states were encoded by the CAF-core architecture. Non-negative matrix factorization of CAF-core program enrichment across 143 sections/specimens resolved four CAF-core ecotype programs (Fig. 3a). These included basal-like/tumor-aggressive, lymphoid/plasma, IFN/APC and EMT-myCAF/TGF-beta-associated states.</w:t>
      </w:r>
    </w:p>
    <w:p>
      <w:pPr>
        <w:jc w:val="left"/>
      </w:pPr>
      <w:r>
        <w:rPr>
          <w:rFonts w:ascii="Calibri" w:hAnsi="Calibri"/>
          <w:b w:val="0"/>
          <w:sz w:val="22"/>
        </w:rPr>
        <w:t>Ecotype composition varied by context (Fig. 3b and Fig. 3c). Primary tumors and liver metastases were enriched for immune-associated CAF-core states. Lymph-node metastases included a larger fraction of EMT-myCAF or basal/tumor-aggressive states, consistent with the immune-decoupling result. Immune-decoupling values also varied by dominant ecotype (Fig. 3d). This analysis reframed CAF cores as spatial ecotypes rather than a single fibroblast compartment.</w:t>
      </w:r>
    </w:p>
    <w:p>
      <w:pPr>
        <w:jc w:val="left"/>
      </w:pPr>
      <w:r>
        <w:rPr>
          <w:rFonts w:ascii="Calibri" w:hAnsi="Calibri"/>
          <w:b w:val="0"/>
          <w:sz w:val="22"/>
        </w:rPr>
        <w:t>To make the spatial-ecology model biologically interpretable, we summarized predefined candidate axes across all scored cohorts. These axes were built from existing module scores and were treated as pathway-level nominations, not causal ligand-receptor inference. SPP1-TAM/matrix and TGF-beta/EMT invasive axes were the most recurrent CAF-core-associated programs across contexts and were also enriched at tumor-stroma interfaces, defined as regions near both CAF-core and tumor-epithelial-high compartments (Fig. 3e).</w:t>
      </w:r>
    </w:p>
    <w:p>
      <w:pPr>
        <w:jc w:val="left"/>
      </w:pPr>
      <w:r>
        <w:rPr>
          <w:rFonts w:ascii="Calibri" w:hAnsi="Calibri"/>
          <w:b w:val="0"/>
          <w:sz w:val="22"/>
        </w:rPr>
        <w:t>Candidate axes separated along the immune-decoupling index (Fig. 3f). TGF-beta/EMT invasive CAF-core enrichment correlated positively with immune decoupling across 150 samples (Spearman rho 0.462). By contrast, IFN/APC antigen, B/plasma lymphoid and T-cell/checkpoint axes correlated negatively with immune decoupling (rho -0.662, -0.639 and -0.601, respectively). Program-defined interface maps made these compartments and candidate programs visually inspectable in representative primary, liver-metastatic and lymph-node-metastatic sections (Fig. 3g-r). These results nominate a model in which SPP1-TAM/matrix and TGF-beta/EMT programs mark persistent stromal-myeloid and invasive-interface organization, while IFN/APC and lymphoid programs distinguish immune-coupled from immune-decoupled tissue contexts.</w:t>
      </w:r>
    </w:p>
    <w:p>
      <w:pPr>
        <w:jc w:val="left"/>
      </w:pPr>
      <w:r>
        <w:rPr>
          <w:rFonts w:ascii="Calibri" w:hAnsi="Calibri"/>
          <w:b w:val="0"/>
          <w:sz w:val="22"/>
        </w:rPr>
        <w:t>Targeted single-gene analysis supported this candidate-axis interpretation (Extended Data Fig. 4). SPP1-TAM/matrix genes were enriched in CAF cores across post-neoadjuvant sections, treatment-naive primary tumors, GSE272362 primary tumors, liver metastases and lymph-node metastases, with positive enrichment in every sample in each plotted tumor context. TGF-beta/EMT invasive genes showed the same direction across these contexts. In contrast, IFN/APC antigen and T-cell/checkpoint gene sets were strong in primary and liver-metastasis CAF cores but attenuated in lymph-node metastasis CAF cores. This gene-level result strengthens the candidate-axis language while preserving the boundary that these are spatial associations, not causal signaling tests.</w:t>
      </w:r>
    </w:p>
    <w:p>
      <w:pPr>
        <w:jc w:val="left"/>
      </w:pPr>
      <w:r>
        <w:rPr>
          <w:rFonts w:ascii="Calibri" w:hAnsi="Calibri"/>
          <w:b w:val="0"/>
          <w:sz w:val="22"/>
        </w:rPr>
        <w:t>Focused mechanism-support analyses further refined the candidate biology. SPP1, APOE, TREM2, CD68 and the SPP1-TAM program were recurrently CAF-core enriched across tumor contexts, whereas CXCL9-family and CXCL9/IFN programs were weaker in CAF cores and inversely associated with immune decoupling (CXCL9/IFN rho -0.413; Extended Data Fig. 4). This supports a stromal-myeloid polarity framework but also shows that an SPP1-high/CXCL9-low summary alone is only modestly associated with immune decoupling. A focused CAF-core/interface analysis nominated matrix-integrin, SPP1-CD44/integrin and TGF-beta/TGFBR axes as candidate communication programs, with matrix-integrin showing the clearest association with immune decoupling (rho 0.324; Extended Data Fig. 4). We therefore performed an action-oriented mechanism-triangulation analysis that combined CAF-core ligand enrichment, interface response, directional core-to-interface scoring, immune-decoupling association, targeted-gene support, Xenium cell-level validation and TCGA bulk context. This ranked matrix-integrin and SPP1-CD44/integrin as the most strongly supported perturbation-ready candidates, followed by TGF-beta/TGFBR (Extended Data Fig. 4). A dedicated mechanism gene/interface module further showed that these top candidates retain targeted-gene core and interface enrichment across contexts and have stronger directional-score associations with stromal-tumor coupling and immune decoupling than the lower-priority IL6-OSM/LIF-JAKSTAT axis (Extended Data Fig. 4). These results are used to prioritize spatially organized mechanisms for future blockade or perturbation rather than to claim direct ligand-receptor causality.</w:t>
      </w:r>
    </w:p>
    <w:p>
      <w:pPr>
        <w:jc w:val="left"/>
      </w:pPr>
      <w:r>
        <w:rPr>
          <w:rFonts w:ascii="Calibri" w:hAnsi="Calibri"/>
          <w:b w:val="0"/>
          <w:sz w:val="22"/>
        </w:rPr>
        <w:t>Marker-level cell-state attribution further supported this interpretation. CAF cores were consistently enriched for myCAF/matrix and SPP1/TAM marker states across post-neoadjuvant, treatment-naive, primary, liver-metastatic and lymph-node-metastatic tumor contexts. By contrast, lymph-node metastases showed attenuated DC/APC and T/NK marker coupling to CAF cores. To test whether this result depended on simple marker averaging, we projected spatial spots against marker-constrained cell-state signatures derived from GSE202051 PDAC h5ad references. The full GSE202051 total reference preserved the same direction: immune decoupling correlated negatively with T/NK, DC/APC and B/plasma CAF-core projection enrichment (rho -0.655, -0.643 and -0.560, respectively) and positively with myCAF/matrix projection enrichment (rho 0.552; Extended Data Fig. 3). A stricter per-spot non-negative least-squares deconvolution sensitivity analysis reproduced these directions and showed complete sample-level agreement with the full-reference projection for the key states (Extended Data Fig. 3). These analyses support the cellular interpretation of the CAF-myeloid core while remaining reference-dependent computational deconvolution rather than single-cell-resolved ground truth.</w:t>
      </w:r>
    </w:p>
    <w:p>
      <w:pPr>
        <w:jc w:val="left"/>
      </w:pPr>
      <w:r>
        <w:rPr>
          <w:rFonts w:ascii="Calibri" w:hAnsi="Calibri"/>
          <w:b w:val="0"/>
          <w:sz w:val="22"/>
        </w:rPr>
        <w:t>As an external non-spatial context layer, we scored the same nominated axes in 178 TCGA PAAD bulk RNA-seq primary tumor samples. myCAF/matrix strongly correlated with TGF-beta/EMT and matrix-integrin axes (rho 0.875 and 0.941) and with SPP1/TAM (rho 0.522). A bulk decoupling-like index correlated negatively with B/plasma, T/NK and DC/APC scores (rho -0.546, -0.478 and -0.414) and positively with myCAF/matrix (rho 0.481; Extended Data Fig. 5). Exploratory TCGA survival-context analysis showed that matrix-integrin, TGF-beta/EMT, myCAF/matrix and bulk decoupling-like scores had nominally adverse univariable Cox associations with overall survival, with matrix-integrin retaining the strongest FDR-adjusted association (hazard ratio 1.39 per s.d.; FDR 0.028; Extended Data Fig. 5). TCGA therefore supports broader PDAC tumor-microenvironment variation and clinical-context relevance consistent with the nominated axes, but it does not validate spatial localization or provide a clinical prediction model.</w:t>
      </w:r>
    </w:p>
    <w:p>
      <w:pPr>
        <w:jc w:val="left"/>
      </w:pPr>
      <w:r>
        <w:rPr>
          <w:rFonts w:ascii="Calibri" w:hAnsi="Calibri"/>
          <w:b w:val="0"/>
          <w:sz w:val="22"/>
        </w:rPr>
        <w:t>Because the original immune-hub framing could be mistaken for a mature tertiary lymphoid structure (TLS) claim, we performed a TLS-maturity stress test across the discovery/support Visium layer, GSE272362 and GSE274557. CAF cores were tested for simultaneous enrichment of TLS chemokine, lymphoid/plasma, FDC/germinal-center-like and immune-maturity-like modules. Under a loose positive-only gate, 102/198 samples had at least weak TLS-compatible expression. Under a stricter gate requiring enrichment greater than 0.25 for each required compartment, only 16/198 samples passed, with the highest tumor-context support in liver metastases (3/12; Extended Data Fig. 5). Across contexts, CAF-myeloid enrichment remained much stronger than immune-maturity enrichment. These data support immune-hub features within CAF-myeloid niches but argue against reframing the central discovery as mature TLS biology without histologic TLS annotation or FDC/germinal-center validation.</w:t>
      </w:r>
    </w:p>
    <w:p>
      <w:pPr>
        <w:pStyle w:val="Heading2"/>
      </w:pPr>
      <w:r>
        <w:t>Independent Visium and Xenium data validate CAF-domain organization at complementary resolutions</w:t>
      </w:r>
    </w:p>
    <w:p>
      <w:pPr>
        <w:jc w:val="left"/>
      </w:pPr>
      <w:r>
        <w:rPr>
          <w:rFonts w:ascii="Calibri" w:hAnsi="Calibri"/>
          <w:b w:val="0"/>
          <w:sz w:val="22"/>
        </w:rPr>
        <w:t>We next tested whether the architecture was visible outside the original discovery and validation datasets. We downloaded and analyzed 55 non-PDX Visium sections from the Nature 2025 metastatic PDAC atlas GSE274557 (Fig. 4a). This cohort included 19 primary PDAC, 16 liver metastasis, six lung metastasis and 14 peritoneal metastasis sections. Using the same within-sample CAF-core definition and 1,000 same-size random cores per sample, GSE274557 independently validated CAF-core-centered organization of IFN/MHC, immune-core, SPP1/TAM and TGF-beta/EMT programs across all four tissue contexts (Fig. 4b and Extended Data Fig. 1). CAF-core tumor-aggressive coupling was present in most primary, liver and peritoneal sections but weaker in lung metastases, supporting site-specific variation rather than uniform failure. Because GSE274557 did not include lymph-node metastases in the analyzed Visium set, this analysis validates broad metastatic CAF-core organization but does not independently validate lymph-node-specific immune decoupling.</w:t>
      </w:r>
    </w:p>
    <w:p>
      <w:pPr>
        <w:jc w:val="left"/>
      </w:pPr>
      <w:r>
        <w:rPr>
          <w:rFonts w:ascii="Calibri" w:hAnsi="Calibri"/>
          <w:b w:val="0"/>
          <w:sz w:val="22"/>
        </w:rPr>
        <w:t>Because Visium spots contain mixed cells, we next tested whether a related spatial architecture could be detected at cell resolution. We downloaded all six GSE274673 Xenium PDAC sections, including three treatment-naive and three chemoradiotherapy-treated samples, and scored the 480-gene panel for CAF/matrix, SPP1/TAM, IFN/APC, T/NK, TGF-beta/EMT and tumor epithelial programs. Fixed CAF-APC and CAF-SPP1/TAM expression-domain anchors were compared with 1,000 same-size random cell anchors within each section. Both anchor definitions centered SPP1/TAM, IFN/APC and T/NK programs in 6/6 sections, and TGF-beta/EMT in 5/6 or 6/6 sections depending on anchor definition (Fig. 4c,d and Extended Data Fig. 3).</w:t>
      </w:r>
    </w:p>
    <w:p>
      <w:pPr>
        <w:jc w:val="left"/>
      </w:pPr>
      <w:r>
        <w:rPr>
          <w:rFonts w:ascii="Calibri" w:hAnsi="Calibri"/>
          <w:b w:val="0"/>
          <w:sz w:val="22"/>
        </w:rPr>
        <w:t>Representative cell-level maps made these CAF-domain patterns visually inspectable in treatment-naive and chemoradiotherapy-treated sections (Fig. 4e-l). Program-defined neighborhood summaries around CAF-SPP1/TAM anchors showed modest enrichment of CAF/matrix and SPP1/TAM-like labels relative to matched random cells, complementing the distance-gradient analysis (Extended Data Fig. 6). In contrast, tumor epithelial and SPP1-tumor-like programs were not centered on either CAF-domain anchor in any section. Thus, GSE274673 supports a cell-resolution immune/myeloid CAF-domain layer, while defining an important boundary against claiming direct CAF-to-tumor epithelial proximity from this assay.</w:t>
      </w:r>
    </w:p>
    <w:p>
      <w:pPr>
        <w:pStyle w:val="Heading2"/>
      </w:pPr>
      <w:r>
        <w:t>Spatial architecture analyses refine the CAF-myeloid niche model</w:t>
      </w:r>
    </w:p>
    <w:p>
      <w:pPr>
        <w:jc w:val="left"/>
      </w:pPr>
      <w:r>
        <w:rPr>
          <w:rFonts w:ascii="Calibri" w:hAnsi="Calibri"/>
          <w:b w:val="0"/>
          <w:sz w:val="22"/>
        </w:rPr>
        <w:t>We next asked whether the CAF-myeloid core signal could be reduced to a generic high-score anchor or whether it reflected a more specific tissue architecture. We therefore compared the CAF-myeloid core with alternative biological anchors, including SPP1/TAM-high, tumor-high, immune-high and panCAF-high regions. Across 205 spatial samples, CAF-myeloid cores retained stronger-than-random spatial organization for TGF-beta/EMT, SPP1/TAM, IFN/MHC, tumor-aggressive and immune-core programs, with support fractions ranging from 85.4% to 99.0% depending on the target program (Extended Data Fig. 6). Tumor epithelial programs did not show the same CAF-core-centered specificity, providing an internal contrast.</w:t>
      </w:r>
    </w:p>
    <w:p>
      <w:pPr>
        <w:jc w:val="left"/>
      </w:pPr>
      <w:r>
        <w:rPr>
          <w:rFonts w:ascii="Calibri" w:hAnsi="Calibri"/>
          <w:b w:val="0"/>
          <w:sz w:val="22"/>
        </w:rPr>
        <w:t>Cell-neighborhood analysis in the six GSE274673 Xenium sections provided a complementary view. CAF-SPP1/TAM-domain neighborhoods enriched SPP1/TAM and CAF/matrix states and depleted tumor epithelial states relative to matched random neighborhoods. CAF-APC-domain neighborhoods enriched IFN/APC, CAF/matrix, SPP1/TAM and T/NK states while also depleting tumor epithelial states. Cell-state adjacency analysis identified positive IFN/APC-T/NK, SPP1/TAM-T/NK, SPP1/TAM-IFN/APC and CAF/matrix-TGF-beta/EMT neighborhood relationships across sections. These results support a cell-level CAF-myeloid neighborhood structure but do not by themselves establish cell-cell signaling direction.</w:t>
      </w:r>
    </w:p>
    <w:p>
      <w:pPr>
        <w:jc w:val="left"/>
      </w:pPr>
      <w:r>
        <w:rPr>
          <w:rFonts w:ascii="Calibri" w:hAnsi="Calibri"/>
          <w:b w:val="0"/>
          <w:sz w:val="22"/>
        </w:rPr>
        <w:t>We then modeled spatial variation along a pseudo-spatial axis from CAF-core-proximal regions to tumor-high regions. Across primary tumors and liver metastases, SPP1/TAM, TGF-beta/EMT, IFN/APC and CAF/myCAF programs were highest near the CAF-core end, whereas tumor epithelial programs increased toward the tumor-high end. Lymph-node metastases retained a tumor-aggressive transition but showed weaker CAF/myCAF core-to-tumor gradient structure. This analysis should be interpreted as a spatial gradient model, not temporal progression.</w:t>
      </w:r>
    </w:p>
    <w:p>
      <w:pPr>
        <w:jc w:val="left"/>
      </w:pPr>
      <w:r>
        <w:rPr>
          <w:rFonts w:ascii="Calibri" w:hAnsi="Calibri"/>
          <w:b w:val="0"/>
          <w:sz w:val="22"/>
        </w:rPr>
        <w:t>Finally, we quantified CAF cores as tissue structures using connected components, fragmentation, largest-component fraction, compactness, interface-core fraction and core-to-tumor distance. Less fragmented cores and larger dominant CAF-core components were associated with stronger stromal-tumor core coupling (fragmentation rho -0.629; largest-component fraction rho 0.583). Tumor-boundary contact also tracked SPP1/TAM and TGF-beta/EMT transition behavior, whereas interface-core fraction did not explain immune decoupling. Together, these analyses support a deeper spatial-architecture model in which CAF-myeloid niches are specific, cell-neighborhood-supported, gradient-organized and geometry-modulated (Extended Data Fig. 6). They strengthen the mechanism-prioritization logic while preserving the boundary that perturbation is required for causal inference.</w:t>
      </w:r>
    </w:p>
    <w:p>
      <w:pPr>
        <w:pStyle w:val="Heading2"/>
      </w:pPr>
      <w:r>
        <w:t>H&amp;E morphology links CAF-myeloid organization to tissue appearance</w:t>
      </w:r>
    </w:p>
    <w:p>
      <w:pPr>
        <w:jc w:val="left"/>
      </w:pPr>
      <w:r>
        <w:rPr>
          <w:rFonts w:ascii="Calibri" w:hAnsi="Calibri"/>
          <w:b w:val="0"/>
          <w:sz w:val="22"/>
        </w:rPr>
        <w:t>Finally, we asked whether the CAF-myeloid spatial axis left a measurable trace in paired H&amp;E morphology. Around each spot in the 113 directly processed GSE282302 and GSE274103 sections, we extracted simple H&amp;E color and texture features after edge/background and tissue-patch filtering. This yielded 289,225 analysis-eligible spots.</w:t>
      </w:r>
    </w:p>
    <w:p>
      <w:pPr>
        <w:jc w:val="left"/>
      </w:pPr>
      <w:r>
        <w:rPr>
          <w:rFonts w:ascii="Calibri" w:hAnsi="Calibri"/>
          <w:b w:val="0"/>
          <w:sz w:val="22"/>
        </w:rPr>
        <w:t>The strongest univariate morphology associations were observed for the CAF-myeloid program. Across sections, CAF-myeloid score was inversely associated with red optical density, total stain density and blue optical density, and positively associated with brightness. A multifeature ridge model evaluated by grouped held-out cross-validation recovered CAF-myeloid score with Spearman rho 0.421, whereas within-sample target-shuffle controls were near zero. Tumor-aggressive, IFN/MHC and immune-core programs showed weaker but above-shuffle performance. Representative H&amp;E patches from program-high and program-low regions provided an inspectable pathology-style bridge for this exploratory analysis (Extended Data Fig. 5).</w:t>
      </w:r>
    </w:p>
    <w:p>
      <w:pPr>
        <w:jc w:val="left"/>
      </w:pPr>
      <w:r>
        <w:rPr>
          <w:rFonts w:ascii="Calibri" w:hAnsi="Calibri"/>
          <w:b w:val="0"/>
          <w:sz w:val="22"/>
        </w:rPr>
        <w:t>These results support a pathology-visible component of the CAF-myeloid axis. They should be used as a translational bridge, not as evidence for a clinical-grade H&amp;E-only predictor.</w:t>
      </w:r>
    </w:p>
    <w:p>
      <w:pPr>
        <w:pStyle w:val="Heading1"/>
      </w:pPr>
      <w:r>
        <w:t>Discussion</w:t>
      </w:r>
    </w:p>
    <w:p>
      <w:pPr>
        <w:jc w:val="left"/>
      </w:pPr>
      <w:r>
        <w:rPr>
          <w:rFonts w:ascii="Calibri" w:hAnsi="Calibri"/>
          <w:b w:val="0"/>
          <w:sz w:val="22"/>
        </w:rPr>
        <w:t>This study identifies a reproducible spatial architecture in PDAC: CAF-myeloid stromal cores around which inflammatory, immune-core and tumor-aggressive programs are organized. The result is supported by same-sample random-core nulls, threshold perturbation, distance-gradient dynamics, independent primary/metastatic validation, external GSE274557 Visium validation and GSE274673 Xenium cell-resolution support. Additional anchor-specificity, cell-neighborhood, core-to-interface and CAF-core geometry analyses further argue that this is a structured tissue-architecture signal rather than a generic high-expression compartment. These layers make the core claim stronger than a representative overlay, a single percentile definition or a platform-specific observation.</w:t>
      </w:r>
    </w:p>
    <w:p>
      <w:pPr>
        <w:jc w:val="left"/>
      </w:pPr>
      <w:r>
        <w:rPr>
          <w:rFonts w:ascii="Calibri" w:hAnsi="Calibri"/>
          <w:b w:val="0"/>
          <w:sz w:val="22"/>
        </w:rPr>
        <w:t>The main biological contrast emerges in metastasis. Primary tumors and liver metastases reproduce CAF-core-centered inflammatory and tumor-aggressive organization. Lymph-node metastases, however, preserve CAF-associated tumor-aggressive and stromal-myeloid programs while uncoupling immune/IFN programs from the CAF core. This pattern suggests that lymph-node tissue context marks immune spatial reorganization without erasing the underlying CAF-tumor stromal scaffold.</w:t>
      </w:r>
    </w:p>
    <w:p>
      <w:pPr>
        <w:jc w:val="left"/>
      </w:pPr>
      <w:r>
        <w:rPr>
          <w:rFonts w:ascii="Calibri" w:hAnsi="Calibri"/>
          <w:b w:val="0"/>
          <w:sz w:val="22"/>
        </w:rPr>
        <w:t>The ecotype and candidate-axis analyses turn this architecture into a testable mechanism agenda. CAF cores resolve into recurrent spatial ecotypes, and SPP1-TAM/matrix plus TGF-beta/EMT programs mark persistent stromal-myeloid and invasive-interface states. Marker-level attribution, GSE202051 reference projection, strict NNLS sensitivity and Xenium support reduce the risk that these states are only module-score abstractions. Mechanism triangulation ranks matrix-integrin and SPP1-CD44/integrin as the leading perturbation-ready interface candidates. This is more specific than a broad ligand-receptor inventory, but it remains a prioritized experimental agenda rather than proof of causal signaling.</w:t>
      </w:r>
    </w:p>
    <w:p>
      <w:pPr>
        <w:jc w:val="left"/>
      </w:pPr>
      <w:r>
        <w:rPr>
          <w:rFonts w:ascii="Calibri" w:hAnsi="Calibri"/>
          <w:b w:val="0"/>
          <w:sz w:val="22"/>
        </w:rPr>
        <w:t>The clinical and TLS analyses sharpen the scope of the study rather than redirecting it. TCGA PAAD bulk data place nominated matrix/stromal-myeloid axes in a broader adverse clinical context, with matrix-integrin showing the strongest exploratory survival association. Because TCGA is non-spatial and the survival analysis is univariable, these data should not be read as clinical validation or a prognostic model. Similarly, TLS-maturity stress testing shows that immune-hub features occur in some CAF-core regions, but only a minority of samples pass a stringent multi-compartment TLS-maturity gate. TLS-related chemokine or lymphoid signals are therefore best interpreted as immune-hub features within the CAF-myeloid niche unless histologic TLS architecture, FDC networks or germinal-center maturation are orthogonally validated.</w:t>
      </w:r>
    </w:p>
    <w:p>
      <w:pPr>
        <w:jc w:val="left"/>
      </w:pPr>
      <w:r>
        <w:rPr>
          <w:rFonts w:ascii="Calibri" w:hAnsi="Calibri"/>
          <w:b w:val="0"/>
          <w:sz w:val="22"/>
        </w:rPr>
        <w:t>Several additional boundaries remain important. The H&amp;E morphology analysis is an exploratory pathology bridge, not a clinical-grade image-only predictor. GSE202051 projection supports cell-state interpretation but is not single-cell-resolved spatial deconvolution. Program-defined compartments and interface maps are expression-derived visualizations, not formal pathology annotations. GSE235315 is used as an external spatial-state anchor until its sample metadata are fully audited. Within these boundaries, the strongest conclusion is that PDAC contains reproducible CAF-myeloid stromal cores that organize inflammatory and tumor-aggressive spatial programs, while metastatic site is associated with selective immune uncoupling from this stromal core.</w:t>
      </w:r>
    </w:p>
    <w:p>
      <w:pPr>
        <w:pStyle w:val="Heading1"/>
      </w:pPr>
      <w:r>
        <w:t>Methods</w:t>
      </w:r>
    </w:p>
    <w:p>
      <w:pPr>
        <w:pStyle w:val="Heading2"/>
      </w:pPr>
      <w:r>
        <w:t>Study design and data sources</w:t>
      </w:r>
    </w:p>
    <w:p>
      <w:pPr>
        <w:jc w:val="left"/>
      </w:pPr>
      <w:r>
        <w:rPr>
          <w:rFonts w:ascii="Calibri" w:hAnsi="Calibri"/>
          <w:b w:val="0"/>
          <w:sz w:val="22"/>
        </w:rPr>
        <w:t>We analyzed public Visium spatial transcriptomics datasets from PDAC and matched tissue images. The discovery cohort was GSE282302, comprising 108 post-neoadjuvant PDAC ST-H&amp;E sections. GSE274103 contributed five treatment-naive PDAC ST-H&amp;E sections. Independent primary/metastatic validation used GSE272362, a spatial transcriptomic atlas linked to a Nature Genetics study and Zenodo record `10.5281/zenodo.10712047`. The GSE272362 Zenodo object `PDAC_Updated.rds` yielded 91,496 spots across 30 specimens. Additional external metastatic validation used 55 non-PDX Visium sections from the Nature 2025 metastatic PDAC atlas GSE274557, including primary, liver-metastatic, lung-metastatic and peritoneal-metastatic samples. Cell-resolution external validation used six GSE274673 Xenium PDAC sections, including three treatment-naive and three chemoradiotherapy-treated samples. GSE235315 contributed seven paired ST-H&amp;E samples used as an external spatial-state anchor. GSE202051 PDAC h5ad references were used for marker-constrained cell-state projection support. TCGA PAAD legacy Xena bulk RNA-seq was used as an external non-spatial tumor-microenvironment context layer.</w:t>
      </w:r>
    </w:p>
    <w:p>
      <w:pPr>
        <w:jc w:val="left"/>
      </w:pPr>
      <w:r>
        <w:rPr>
          <w:rFonts w:ascii="Calibri" w:hAnsi="Calibri"/>
          <w:b w:val="0"/>
          <w:sz w:val="22"/>
        </w:rPr>
        <w:t>For GSE272362, specimen-site labels were derived from the RDS `Origin` field and audited against the GEO overall design, the linked article, Zenodo and local sample counts. The resulting groups were 10 primary tumors, 12 liver metastases, five lymph-node metastases and three normal pancreas samples. This provenance audit is recorded in `metadata/gse272362_provenance_audit.md`.</w:t>
      </w:r>
    </w:p>
    <w:p>
      <w:pPr>
        <w:jc w:val="left"/>
      </w:pPr>
      <w:r>
        <w:rPr>
          <w:rFonts w:ascii="Calibri" w:hAnsi="Calibri"/>
          <w:b w:val="0"/>
          <w:sz w:val="22"/>
        </w:rPr>
        <w:t>For GSE274557, GEO series metadata were parsed for tissue site and treatment fields. HDF5 filtered feature-barcode matrices and Space Ranger spatial archives were downloaded per sample from GEO supplementary files. PDX samples were excluded. The final GSE274557 external validation analysis included 19 primary PDAC, 16 liver metastasis, six lung metastasis and 14 peritoneal metastasis sections. CAF-core scoring, distance-to-core gradients and 1,000 same-size random-core comparisons were performed with the same core logic as the main spatial analyses. This cohort was used to validate broad metastatic CAF-core organization across organ sites, not lymph-node-specific immune decoupling.</w:t>
      </w:r>
    </w:p>
    <w:p>
      <w:pPr>
        <w:jc w:val="left"/>
      </w:pPr>
      <w:r>
        <w:rPr>
          <w:rFonts w:ascii="Calibri" w:hAnsi="Calibri"/>
          <w:b w:val="0"/>
          <w:sz w:val="22"/>
        </w:rPr>
        <w:t>For GSE274673, GEO series metadata and per-sample RAW archives were downloaded for all six Xenium sections. The extracted analysis files included `cells.csv.gz`, `cell_feature_matrix.h5`, feature and barcode files, clustering outputs and UMAP projections. Gene-panel module scores were computed from log-normalized cell-feature counts and z-scored genes. Two fixed expression-domain anchors were defined per sample: CAF-APC, the mean of CAF/matrix and IFN/APC scores, and CAF-SPP1/TAM, the mean of CAF/matrix and SPP1/TAM scores. The top 10% of cells by each anchor score were used as anchor cells. For each target program, the Spearman correlation between target score and normalized distance to the nearest anchor cell was compared with 1,000 same-size random cell anchors within the same section. This analysis was used only to test cell-resolution spatial organization around expression-defined CAF domains, not direct ligand-receptor signaling or causal cell-cell interaction.</w:t>
      </w:r>
    </w:p>
    <w:p>
      <w:pPr>
        <w:jc w:val="left"/>
      </w:pPr>
      <w:r>
        <w:rPr>
          <w:rFonts w:ascii="Calibri" w:hAnsi="Calibri"/>
          <w:b w:val="0"/>
          <w:sz w:val="22"/>
        </w:rPr>
        <w:t>TCGA PAAD survival context was analyzed from the same bulk RNA-seq axis scores and downloaded overall-survival table. Univariable Cox proportional-hazards models used standardized axis scores, and median-split Kaplan-Meier/log-rank analyses were used as visual stress tests. This analysis was treated as non-spatial clinical context and not as clinical validation of CAF-core localization.</w:t>
      </w:r>
    </w:p>
    <w:p>
      <w:pPr>
        <w:jc w:val="left"/>
      </w:pPr>
      <w:r>
        <w:rPr>
          <w:rFonts w:ascii="Calibri" w:hAnsi="Calibri"/>
          <w:b w:val="0"/>
          <w:sz w:val="22"/>
        </w:rPr>
        <w:t>TLS-maturity stress testing used expression-derived module scores for TLS chemokine, B-cell, T-cell, plasma-cell, DC/APC, FDC/germinal-center-like, immune-hub-core, immune-maturity-like and CAF-myeloid programs. Within each sample, CAF cores were redefined as the top 10% of spots by CAF-myeloid score. Module enrichment was calculated as mean within-sample z-scored module value in CAF-core spots minus non-core spots. A loose TLS-compatible gate required positive CAF-core enrichment of TLS chemokine, at least one lymphoid/plasma module and the FDC/GC-like module. The stringent gate used in the main stress-test figure required enrichment greater than 0.25 for TLS chemokine, at least one lymphoid/plasma module, FDC/GC-like and immune-maturity-like modules. This analysis was designed to test TLS-maturity compatibility, not to replace histologic TLS annotation.</w:t>
      </w:r>
    </w:p>
    <w:p>
      <w:pPr>
        <w:pStyle w:val="Heading2"/>
      </w:pPr>
      <w:r>
        <w:t>Data processing and spatial program scoring</w:t>
      </w:r>
    </w:p>
    <w:p>
      <w:pPr>
        <w:jc w:val="left"/>
      </w:pPr>
      <w:r>
        <w:rPr>
          <w:rFonts w:ascii="Calibri" w:hAnsi="Calibri"/>
          <w:b w:val="0"/>
          <w:sz w:val="22"/>
        </w:rPr>
        <w:t>GEO supplementary files were parsed into a curated manifest containing expression, tissue-position and tissue-image paths for each sample. GSE282302 and GSE274103 contained directly analyzable Visium-style expression and image files. GSE272362 GEO supplementary files provided spatial metadata and tissue images; transcriptomic scoring used the linked Zenodo `PDAC_Updated.rds` object. GSE235315 supplementary files were downloaded from GEO and extracted locally.</w:t>
      </w:r>
    </w:p>
    <w:p>
      <w:pPr>
        <w:jc w:val="left"/>
      </w:pPr>
      <w:r>
        <w:rPr>
          <w:rFonts w:ascii="Calibri" w:hAnsi="Calibri"/>
          <w:b w:val="0"/>
          <w:sz w:val="22"/>
        </w:rPr>
        <w:t>Each spot was scored for prespecified programs relevant to the PDAC spatial-niche hypothesis: CAF-myeloid stromal core, IFN/MHC antigen-presentation, immune-core, tumor-aggressive and immune-maturity-like programs. For GSE282302, GSE274103 and GSE235315, scoring was performed from local Visium sample files and paired spatial coordinates. For GSE272362, scoring was performed from the Seurat object while preserving sample identity and spatial coordinates.</w:t>
      </w:r>
    </w:p>
    <w:p>
      <w:pPr>
        <w:jc w:val="left"/>
      </w:pPr>
      <w:r>
        <w:rPr>
          <w:rFonts w:ascii="Calibri" w:hAnsi="Calibri"/>
          <w:b w:val="0"/>
          <w:sz w:val="22"/>
        </w:rPr>
        <w:t>For directly processed GSE282302 and GSE274103 samples, edge/background-risk labels were computed from tissue-image and coordinate information to reduce boundary and background artifacts. Downstream main-cohort gradient and random-core analyses excluded spots marked as edge or background risk. GSE272362 RDS-derived analyses did not use the same edge/background-risk filter, and this limitation is retained in the claim boundary.</w:t>
      </w:r>
    </w:p>
    <w:p>
      <w:pPr>
        <w:pStyle w:val="Heading2"/>
      </w:pPr>
      <w:r>
        <w:t>CAF-core definition and distance-to-core gradients</w:t>
      </w:r>
    </w:p>
    <w:p>
      <w:pPr>
        <w:jc w:val="left"/>
      </w:pPr>
      <w:r>
        <w:rPr>
          <w:rFonts w:ascii="Calibri" w:hAnsi="Calibri"/>
          <w:b w:val="0"/>
          <w:sz w:val="22"/>
        </w:rPr>
        <w:t>Within each sample, the primary CAF-myeloid core was defined as the top 10% of spots by CAF-myeloid program score. This within-sample definition avoided between-sample scaling artifacts and ensured that each sample contributed a same-fraction spatial core. For threshold sensitivity, analyses were repeated with top 15%, top 10% and top 5% CAF-myeloid core definitions.</w:t>
      </w:r>
    </w:p>
    <w:p>
      <w:pPr>
        <w:jc w:val="left"/>
      </w:pPr>
      <w:r>
        <w:rPr>
          <w:rFonts w:ascii="Calibri" w:hAnsi="Calibri"/>
          <w:b w:val="0"/>
          <w:sz w:val="22"/>
        </w:rPr>
        <w:t>For each spot, Euclidean distance to the nearest CAF-core spot was computed in tissue-coordinate space. Distances were normalized by the median nearest-neighbor spot distance within the same sample. For each target program, Spearman correlation was computed between normalized distance to the CAF core and the target score. Negative Spearman rho values indicate target-program enrichment nearer to the CAF core.</w:t>
      </w:r>
    </w:p>
    <w:p>
      <w:pPr>
        <w:pStyle w:val="Heading2"/>
      </w:pPr>
      <w:r>
        <w:t>Random-core null model and threshold sensitivity</w:t>
      </w:r>
    </w:p>
    <w:p>
      <w:pPr>
        <w:jc w:val="left"/>
      </w:pPr>
      <w:r>
        <w:rPr>
          <w:rFonts w:ascii="Calibri" w:hAnsi="Calibri"/>
          <w:b w:val="0"/>
          <w:sz w:val="22"/>
        </w:rPr>
        <w:t>To test whether observed CAF-core gradients could be explained by arbitrary spatial regions, each sample was compared with 1,000 random same-size cores. For each random core, distances from every spot to the nearest random-core spot were computed and correlated with each target program using the same Spearman procedure as the observed CAF-core analysis.</w:t>
      </w:r>
    </w:p>
    <w:p>
      <w:pPr>
        <w:jc w:val="left"/>
      </w:pPr>
      <w:r>
        <w:rPr>
          <w:rFonts w:ascii="Calibri" w:hAnsi="Calibri"/>
          <w:b w:val="0"/>
          <w:sz w:val="22"/>
        </w:rPr>
        <w:t>For each sample and target, the observed CAF-core rho was compared with the random-core null distribution. Summary statistics included median observed rho, median random-core rho, median delta versus the random-core median, and the number of samples in which observed CAF-core rho was more negative than the random-core median. Negative delta values indicate stronger target-program enrichment around true CAF-myeloid cores than around random same-size cores.</w:t>
      </w:r>
    </w:p>
    <w:p>
      <w:pPr>
        <w:jc w:val="left"/>
      </w:pPr>
      <w:r>
        <w:rPr>
          <w:rFonts w:ascii="Calibri" w:hAnsi="Calibri"/>
          <w:b w:val="0"/>
          <w:sz w:val="22"/>
        </w:rPr>
        <w:t>CAF-core threshold sensitivity repeated distance-to-core gradients using top 15%, top 10% and top 5% CAF-myeloid cores. Conclusions were considered threshold-stable when median distance-to-core correlations remained directionally negative across thresholds.</w:t>
      </w:r>
    </w:p>
    <w:p>
      <w:pPr>
        <w:pStyle w:val="Heading2"/>
      </w:pPr>
      <w:r>
        <w:t>GSE272362 spatial validation and subprogram decomposition</w:t>
      </w:r>
    </w:p>
    <w:p>
      <w:pPr>
        <w:jc w:val="left"/>
      </w:pPr>
      <w:r>
        <w:rPr>
          <w:rFonts w:ascii="Calibri" w:hAnsi="Calibri"/>
          <w:b w:val="0"/>
          <w:sz w:val="22"/>
        </w:rPr>
        <w:t>For GSE272362, CAF-core distance gradients were decomposed across stromal, myeloid, immune, tumor-state, hypoxia, plasma-cell, dendritic-cell/APC and neural/Schwann-associated programs. Within each sample, top 10% CAF-myeloid spots defined the CAF core. Spearman correlations between normalized distance to the core and each subprogram score were summarized by specimen site.</w:t>
      </w:r>
    </w:p>
    <w:p>
      <w:pPr>
        <w:jc w:val="left"/>
      </w:pPr>
      <w:r>
        <w:rPr>
          <w:rFonts w:ascii="Calibri" w:hAnsi="Calibri"/>
          <w:b w:val="0"/>
          <w:sz w:val="22"/>
        </w:rPr>
        <w:t>Patient-matched primary-metastasis comparisons were computed where primary and metastatic specimens shared an available patient identifier. For each subprogram and metastasis site, the metastasis-minus-primary delta in distance-to-core Spearman rho was reported. Negative deltas indicate that the metastasis was more CAF-core centered than the matched primary tumor for that program.</w:t>
      </w:r>
    </w:p>
    <w:p>
      <w:pPr>
        <w:pStyle w:val="Heading2"/>
      </w:pPr>
      <w:r>
        <w:t>CAF-core ecotypes, immune decoupling and tumor-stroma interfaces</w:t>
      </w:r>
    </w:p>
    <w:p>
      <w:pPr>
        <w:jc w:val="left"/>
      </w:pPr>
      <w:r>
        <w:rPr>
          <w:rFonts w:ascii="Calibri" w:hAnsi="Calibri"/>
          <w:b w:val="0"/>
          <w:sz w:val="22"/>
        </w:rPr>
        <w:t>CAF-core enrichment was calculated within each sample as the difference between mean within-sample z-scored program values in top 10% CAF-myeloid core spots and non-core spots. Non-negative matrix factorization was applied to CAF-core enrichment across stromal, myeloid, immune and tumor-state programs to identify recurrent CAF-core ecotypes. Each sample was assigned to its dominant ecotype by maximum NMF weight.</w:t>
      </w:r>
    </w:p>
    <w:p>
      <w:pPr>
        <w:jc w:val="left"/>
      </w:pPr>
      <w:r>
        <w:rPr>
          <w:rFonts w:ascii="Calibri" w:hAnsi="Calibri"/>
          <w:b w:val="0"/>
          <w:sz w:val="22"/>
        </w:rPr>
        <w:t>The immune-decoupling index was defined as mean stromal-tumor CAF-core coupling minus mean immune CAF-core coupling. Stromal-tumor programs included myCAF, myeloid, SPP1/TREM2 TAM, TGF-beta, EMT/invasion and tumor-aggressive scores. Immune programs included IFN/MHC, immune-core, T-cell, B-cell and DC/APC scores.</w:t>
      </w:r>
    </w:p>
    <w:p>
      <w:pPr>
        <w:jc w:val="left"/>
      </w:pPr>
      <w:r>
        <w:rPr>
          <w:rFonts w:ascii="Calibri" w:hAnsi="Calibri"/>
          <w:b w:val="0"/>
          <w:sz w:val="22"/>
        </w:rPr>
        <w:t>Tumor-stroma interface regions were defined as spots within two median nearest-neighbor distances of both CAF-core spots and tumor-epithelial-high spots. Interface enrichment was calculated as the difference between mean within-sample z-scored program values in interface spots and non-interface spots.</w:t>
      </w:r>
    </w:p>
    <w:p>
      <w:pPr>
        <w:pStyle w:val="Heading2"/>
      </w:pPr>
      <w:r>
        <w:t>Candidate mechanism axes and targeted-gene validation</w:t>
      </w:r>
    </w:p>
    <w:p>
      <w:pPr>
        <w:jc w:val="left"/>
      </w:pPr>
      <w:r>
        <w:rPr>
          <w:rFonts w:ascii="Calibri" w:hAnsi="Calibri"/>
          <w:b w:val="0"/>
          <w:sz w:val="22"/>
        </w:rPr>
        <w:t>Candidate pathway-level axes were constructed from existing module scores to aid biological interpretation. The TGF-beta/EMT invasive axis combined TGF-beta pathway, EMT/invasion and myCAF scores. The SPP1-TAM/matrix axis combined SPP1/TREM2 TAM, myeloid and pan-CAF scores. Additional axes summarized IFN/APC antigen, T-cell/checkpoint, B/plasma lymphoid, basal-hypoxic tumor and classical epithelial programs. Component scores were z-scored within sample and averaged to define each axis. Axis enrichment at CAF cores and tumor-stroma interfaces was summarized by cohort/specimen context and correlated with the immune-decoupling index.</w:t>
      </w:r>
    </w:p>
    <w:p>
      <w:pPr>
        <w:jc w:val="left"/>
      </w:pPr>
      <w:r>
        <w:rPr>
          <w:rFonts w:ascii="Calibri" w:hAnsi="Calibri"/>
          <w:b w:val="0"/>
          <w:sz w:val="22"/>
        </w:rPr>
        <w:t>For mechanism triangulation, four focused ligand-receptor/interface candidates were scored across seven evidence layers: CAF-core ligand enrichment, interface receptor/response enrichment, directional core-to-interface score, association with immune decoupling, targeted-gene support, GSE274673 Xenium cell-level support and TCGA PAAD bulk-context consistency. Candidate axes were ranked by the sum of discretized evidence-layer support. This analysis was designed to prioritize perturbation-ready axes, not to infer causality from observational spatial data.</w:t>
      </w:r>
    </w:p>
    <w:p>
      <w:pPr>
        <w:jc w:val="left"/>
      </w:pPr>
      <w:r>
        <w:rPr>
          <w:rFonts w:ascii="Calibri" w:hAnsi="Calibri"/>
          <w:b w:val="0"/>
          <w:sz w:val="22"/>
        </w:rPr>
        <w:t>Targeted gene-level validation tested predefined gene sets for SPP1-TAM/matrix, TGF-beta/EMT invasive, IFN/APC antigen, B/plasma lymphoid and T-cell/checkpoint axes. For GSE282302, GSE274103 and GSE272362, target-gene expression was log-normalized per spot, averaged within each predefined axis and z-scored within sample. CAF-core enrichment was calculated as mean axis z-score in CAF-core spots minus non-core spots. This analysis supports candidate-axis nomination at the targeted-gene level but does not establish ligand-receptor signaling, perturbational causality or clinical mechanism.</w:t>
      </w:r>
    </w:p>
    <w:p>
      <w:pPr>
        <w:jc w:val="left"/>
      </w:pPr>
      <w:r>
        <w:rPr>
          <w:rFonts w:ascii="Calibri" w:hAnsi="Calibri"/>
          <w:b w:val="0"/>
          <w:sz w:val="22"/>
        </w:rPr>
        <w:t>Focused CXCL9-SPP1 polarity analysis tested SPP1, APOE, TREM2, CD68, CXCL9, CXCL10, CXCL11, an SPP1-TAM program, a CXCL9/IFN program and an SPP1-high/CXCL9-low polarity score. For each sample, enrichment was calculated as mean within-sample z-scored expression in CAF-core spots minus non-core spots. Spearman correlations were then computed between CAF-core feature enrichment and the immune-decoupling index.</w:t>
      </w:r>
    </w:p>
    <w:p>
      <w:pPr>
        <w:jc w:val="left"/>
      </w:pPr>
      <w:r>
        <w:rPr>
          <w:rFonts w:ascii="Calibri" w:hAnsi="Calibri"/>
          <w:b w:val="0"/>
          <w:sz w:val="22"/>
        </w:rPr>
        <w:t>Focused interface-candidate analysis tested four predefined expression axes: SPP1-CD44/integrin, TGF-beta/TGFBR, matrix-integrin and IL6-OSM/LIF-JAKSTAT. For each axis, ligand enrichment was evaluated in CAF-core spots, while receptor and response-gene enrichment were evaluated in tumor-stroma interface spots. A directional core-to-interface score combined ligand-core, receptor-interface and response-interface enrichment. These analyses nominate plausible interface programs but do not establish ligand-receptor binding, directional signaling or perturbational causality.</w:t>
      </w:r>
    </w:p>
    <w:p>
      <w:pPr>
        <w:pStyle w:val="Heading2"/>
      </w:pPr>
      <w:r>
        <w:t>Spatial architecture deepening analyses</w:t>
      </w:r>
    </w:p>
    <w:p>
      <w:pPr>
        <w:jc w:val="left"/>
      </w:pPr>
      <w:r>
        <w:rPr>
          <w:rFonts w:ascii="Calibri" w:hAnsi="Calibri"/>
          <w:b w:val="0"/>
          <w:sz w:val="22"/>
        </w:rPr>
        <w:t>Alternative biological-anchor specificity was tested by repeating distance-gradient analyses around CAF-myeloid cores and alternative same-sample biological anchors, including SPP1/TAM-high, tumor-high, immune-high and panCAF-high regions. For each anchor and target program, the observed distance-to-anchor Spearman correlation was compared with matched random same-size anchor summaries. Support was defined as the fraction of samples in which the observed biological-anchor gradient exceeded the matched random-anchor expectation in the expected direction.</w:t>
      </w:r>
    </w:p>
    <w:p>
      <w:pPr>
        <w:jc w:val="left"/>
      </w:pPr>
      <w:r>
        <w:rPr>
          <w:rFonts w:ascii="Calibri" w:hAnsi="Calibri"/>
          <w:b w:val="0"/>
          <w:sz w:val="22"/>
        </w:rPr>
        <w:t>For Xenium cell-neighborhood analysis, each GSE274673 cell was assigned a program-dominant state from the scored CAF/matrix, SPP1/TAM, IFN/APC, T/NK, TGF-beta/EMT, tumor epithelial and residual categories. CAF-SPP1/TAM and CAF-APC anchor cells were compared with 1,000 matched random cell anchors per section. Neighborhood composition was summarized as the observed fraction of neighboring cell states minus the matched random-neighborhood fraction. Cell-state adjacency was summarized as observed/expected neighborhood ratios and log2 observed/expected enrichment across sections.</w:t>
      </w:r>
    </w:p>
    <w:p>
      <w:pPr>
        <w:jc w:val="left"/>
      </w:pPr>
      <w:r>
        <w:rPr>
          <w:rFonts w:ascii="Calibri" w:hAnsi="Calibri"/>
          <w:b w:val="0"/>
          <w:sz w:val="22"/>
        </w:rPr>
        <w:t>Core-to-interface transition analysis defined a pseudo-spatial coordinate from CAF-core-proximal regions to tumor-epithelial-high regions within each spatial sample. Spots were binned along this coordinate, and within-sample z-scored program values were summarized by bin and tissue context. This coordinate captures spatial organization across a tissue axis and was not interpreted as temporal progression.</w:t>
      </w:r>
    </w:p>
    <w:p>
      <w:pPr>
        <w:jc w:val="left"/>
      </w:pPr>
      <w:r>
        <w:rPr>
          <w:rFonts w:ascii="Calibri" w:hAnsi="Calibri"/>
          <w:b w:val="0"/>
          <w:sz w:val="22"/>
        </w:rPr>
        <w:t>CAF-core geometry was quantified from the binary CAF-core mask in each sample. Metrics included connected-component count, fragmentation per 100 core spots, largest-component fraction, compactness, interface-core fraction, median distance from CAF-core spots to tumor-epithelial-high spots and tumor-boundary contacts per core spot. Geometry metrics were correlated with stromal-tumor core coupling, immune-core coupling, immune decoupling and core-to-interface transition readouts using Spearman correlation. These analyses were used to characterize tissue architecture and candidate mechanism context, not to infer physical force, cell movement or causality.</w:t>
      </w:r>
    </w:p>
    <w:p>
      <w:pPr>
        <w:pStyle w:val="Heading2"/>
      </w:pPr>
      <w:r>
        <w:t>Marker-level cell-state attribution and GSE202051 reference projection</w:t>
      </w:r>
    </w:p>
    <w:p>
      <w:pPr>
        <w:jc w:val="left"/>
      </w:pPr>
      <w:r>
        <w:rPr>
          <w:rFonts w:ascii="Calibri" w:hAnsi="Calibri"/>
          <w:b w:val="0"/>
          <w:sz w:val="22"/>
        </w:rPr>
        <w:t>Marker-level cell-state attribution used predefined marker sets for myCAF/matrix, iCAF, SPP1/TAM, DC/APC, T/NK, B/plasma, epithelial/tumor, endothelial, neural/Schwann and acinar/normal states. Gene expression was log-normalized and z-scored within each spatial sample. CAF-core enrichment was calculated as core mean minus non-core mean for each marker state.</w:t>
      </w:r>
    </w:p>
    <w:p>
      <w:pPr>
        <w:jc w:val="left"/>
      </w:pPr>
      <w:r>
        <w:rPr>
          <w:rFonts w:ascii="Calibri" w:hAnsi="Calibri"/>
          <w:b w:val="0"/>
          <w:sz w:val="22"/>
        </w:rPr>
        <w:t>For reference projection, GSE202051 h5ad subsets and the total h5ad file were downloaded from GEO. Cells or nuclei with high reference signature scores were used to define marker-constrained reference profiles. Spatial spots were projected onto these profiles by least-squares coefficients, negative values were clipped to zero, and coefficients were normalized per spot. As a stricter sensitivity analysis, we also fit per-spot non-negative least-squares coefficients against the full GSE202051-derived signatures and summarized CAF-core enrichment, CAF-myeloid score association and immune-decoupling correlations at the sample level. These projections were used as reference-dependent support for cellular interpretation, not as immunostaining, segmentation or single-cell-resolved ground truth.</w:t>
      </w:r>
    </w:p>
    <w:p>
      <w:pPr>
        <w:pStyle w:val="Heading2"/>
      </w:pPr>
      <w:r>
        <w:t>TCGA PAAD bulk context</w:t>
      </w:r>
    </w:p>
    <w:p>
      <w:pPr>
        <w:jc w:val="left"/>
      </w:pPr>
      <w:r>
        <w:rPr>
          <w:rFonts w:ascii="Calibri" w:hAnsi="Calibri"/>
          <w:b w:val="0"/>
          <w:sz w:val="22"/>
        </w:rPr>
        <w:t>TCGA PAAD legacy Xena HiSeqV2 bulk RNA-seq and clinical matrices were downloaded. For each predefined axis, genes were z-scored across samples and averaged. A bulk stromal-myeloid index averaged myCAF/matrix, SPP1/TAM, TGF-beta/EMT and matrix-integrin scores; a bulk immune projection index averaged DC/APC, T/NK and B/plasma scores; and a bulk decoupling-like index was defined as stromal-myeloid minus immune. Spearman correlations were used for bulk context analysis. Clinical associations were treated as exploratory and were not used for primary claims.</w:t>
      </w:r>
    </w:p>
    <w:p>
      <w:pPr>
        <w:pStyle w:val="Heading2"/>
      </w:pPr>
      <w:r>
        <w:t>H&amp;E overlay generation and morphology screen</w:t>
      </w:r>
    </w:p>
    <w:p>
      <w:pPr>
        <w:jc w:val="left"/>
      </w:pPr>
      <w:r>
        <w:rPr>
          <w:rFonts w:ascii="Calibri" w:hAnsi="Calibri"/>
          <w:b w:val="0"/>
          <w:sz w:val="22"/>
        </w:rPr>
        <w:t>Representative H&amp;E overlays were generated to inspect whether statistical spatial gradients corresponded to plausible tissue compartments. For GSE272362, RDS-derived spot coordinates were matched to GEO tissue-position coordinates before overlaying program scores on tissue images. Selected GSE272362 examples had 400/400 exact coordinate matches between RDS coordinates and GEO tissue-position coordinates.</w:t>
      </w:r>
    </w:p>
    <w:p>
      <w:pPr>
        <w:jc w:val="left"/>
      </w:pPr>
      <w:r>
        <w:rPr>
          <w:rFonts w:ascii="Calibri" w:hAnsi="Calibri"/>
          <w:b w:val="0"/>
          <w:sz w:val="22"/>
        </w:rPr>
        <w:t>For GSE282302 and GSE274103, simple H&amp;E patch morphology features were extracted around each Visium spot using matched high-resolution tissue images and `tissue_hires_scalef` values. Features included tissue fraction, white/background fraction, brightness, grayscale texture, saturation, optical-density summaries, red-blue color contrast, pink and purple pixel fractions, and edge density. Spots marked as edge/background risk, spots with high local white-background fraction, and spots with low patch tissue fraction were excluded from model analysis.</w:t>
      </w:r>
    </w:p>
    <w:p>
      <w:pPr>
        <w:jc w:val="left"/>
      </w:pPr>
      <w:r>
        <w:rPr>
          <w:rFonts w:ascii="Calibri" w:hAnsi="Calibri"/>
          <w:b w:val="0"/>
          <w:sz w:val="22"/>
        </w:rPr>
        <w:t>Univariate morphology associations were estimated as within-sample Spearman correlations. Multifeature H&amp;E models used within-sample z-scored features and targets and were evaluated using ridge regression with grouped cross-validation by dataset-patient group. Negative controls permuted each target within sample before repeating the same grouped cross-validation procedure.</w:t>
      </w:r>
    </w:p>
    <w:p>
      <w:pPr>
        <w:pStyle w:val="Heading2"/>
      </w:pPr>
      <w:r>
        <w:t>Figure assembly and software</w:t>
      </w:r>
    </w:p>
    <w:p>
      <w:pPr>
        <w:jc w:val="left"/>
      </w:pPr>
      <w:r>
        <w:rPr>
          <w:rFonts w:ascii="Calibri" w:hAnsi="Calibri"/>
          <w:b w:val="0"/>
          <w:sz w:val="22"/>
        </w:rPr>
        <w:t>Submission-style figures were assembled from source tables and representative overlays. The current polished figure suite is generated by `scripts/26_make_submission_figure_suite.py`. Targeted-gene validation is generated by `scripts/27_export_gse272362_target_gene_expression.R` and `scripts/27_targeted_gene_axis_validation.py`. Extended robustness and external-anchor panels are generated by `scripts/28_make_extended_data_robustness_figure.py`. Marker-level cell-state attribution, GSE202051 reference projection, TCGA PAAD bulk-context, focused mechanism-support, GSE274557 external-validation and GSE274673 Xenium cell-resolution panels are generated by `scripts/34_cell_state_marker_attribution_gap2.py`, `scripts/36_reference_projection_deconvolution_gap2.py`, `scripts/37_compare_gse202051_reference_projection.py`, `scripts/38_tcga_paad_bulk_context.py`, `scripts/39_make_extended_data_figure6_cell_state_reference_support.py`, `scripts/40_make_extended_data_figures8_9_mechanism_support.py`, `scripts/41_external_metastatic_pdac_feasibility.py`, `scripts/42_gse274557_pilot_caf_core_validation.py`, `scripts/43_make_extended_data_figure10_gse274557_external_validation.py`, `scripts/44_make_extended_data_figure10_source_data.py`, `scripts/46_gse274673_xenium_pilot_expression_domain.py`, `scripts/47_gse274673_xenium_two_sample_anchor_sensitivity.py`, `scripts/48_gse274673_xenium_fixed_anchor_validation.py`, `scripts/49_make_candidate_figure4_multiresolution_validation.py`, `scripts/50_make_reference_style_supplement_figures.py`, `scripts/51_make_deep_reference_style_figures.py`, `scripts/52_make_ecotype_flow_figure.py`, `scripts/53_make_candidate_main_figure3_v2.py`, `scripts/54_make_candidate_main_figure3_nc_style.py`, `scripts/55_make_nc_style_main_figures.py`, `scripts/56_mechanism_triangulation_priority.py`, `scripts/57_tcga_survival_context.py`, `scripts/58_tls_maturity_stress_test.py`, `scripts/59_make_nc_style_supplement_modules.py`, `scripts/60_make_nc_style_robustness_module.py`, `scripts/61_make_nc_style_cell_state_module.py`, `scripts/62_make_nc_style_metastatic_decoupling_module.py`, `scripts/63_strict_nnls_reference_deconvolution.py`, `scripts/64_make_nc_style_mechanism_gene_interface_module.py`, `scripts/74_alternative_biological_anchor_specificity.py`, `scripts/75_xenium_cell_neighborhood_network.py`, `scripts/76_core_to_interface_transition_model.py`, `scripts/77_caf_core_geometry_tissue_architecture.py` and `scripts/78_make_deep_spatial_architecture_module.py`.</w:t>
      </w:r>
    </w:p>
    <w:p>
      <w:pPr>
        <w:jc w:val="left"/>
      </w:pPr>
      <w:r>
        <w:rPr>
          <w:rFonts w:ascii="Calibri" w:hAnsi="Calibri"/>
          <w:b w:val="0"/>
          <w:sz w:val="22"/>
        </w:rPr>
        <w:t>Analyses were run with R 4.6.0 and Python 3.11.0. Key R packages included Seurat 5.5.0, SeuratObject 5.4.0, data.table 1.18.4, FNN 1.1.4.1, RANN 2.6.2, ggplot2 4.0.3, png 0.1.9, gridExtra 2.3 and patchwork 1.3.2. Key Python packages included numpy 2.4.3, pandas 3.0.1, matplotlib 3.10.8, Pillow 12.1.1, scipy 1.17.1, scikit-learn 1.8.0, h5py 3.16.0 and PyMuPDF 1.26.6. Command-level reproducibility notes are provided in `results/reports/references_versions_reproducibility.md`.</w:t>
      </w:r>
    </w:p>
    <w:p>
      <w:pPr>
        <w:pStyle w:val="Heading1"/>
      </w:pPr>
      <w:r>
        <w:t>Data availability</w:t>
      </w:r>
    </w:p>
    <w:p>
      <w:pPr>
        <w:jc w:val="left"/>
      </w:pPr>
      <w:r>
        <w:rPr>
          <w:rFonts w:ascii="Calibri" w:hAnsi="Calibri"/>
          <w:b w:val="0"/>
          <w:sz w:val="22"/>
        </w:rPr>
        <w:t>All analyses used public datasets. GSE272362 specimen-group provenance is documented in `metadata/gse272362_provenance_audit.md`. Panel-level source mapping is maintained in `results/reports/submission_figure_captions_and_source_map.md`. Command-level reproducibility is maintained in `results/reports/references_versions_reproducibility.md`.</w:t>
      </w:r>
    </w:p>
    <w:p>
      <w:pPr>
        <w:jc w:val="left"/>
      </w:pPr>
      <w:r>
        <w:rPr>
          <w:rFonts w:ascii="Calibri" w:hAnsi="Calibri"/>
          <w:b w:val="0"/>
          <w:sz w:val="22"/>
        </w:rPr>
        <w:t>Core source tables include `results/source_data/Source_Data_Fig_1.csv`, `results/source_data/Source_Data_Fig_2.csv`, `results/source_data/Source_Data_Fig_3A.csv`, `results/source_data/Source_Data_Fig_3_candidate_NC_style_panel_index.csv`, `results/source_data/Source_Data_Fig_4A_multiresolution_scale.csv`, `results/source_data/Source_Data_Fig_4B_GSE274557.csv`, `results/source_data/Source_Data_Fig_4C_GSE274673.csv`, `results/source_data/Source_Data_Fig_4D_GSE274673.csv`, `results/source_data/Source_Data_Fig_5A.csv`, `results/source_data/Source_Data_Fig_5B.csv`, `results/source_data/Source_Data_Fig_5C.csv`, `results/source_data/Source_Data_Fig_7A_B.csv`, `results/source_data/Source_Data_Fig_7C.csv`, `results/source_data/Source_Data_Extended_Data_Fig_10A.csv`, `results/source_data/Source_Data_Extended_Data_Fig_10B.csv`, `results/source_data/Source_Data_Extended_Data_Fig_11A_B.csv`, `results/source_data/Source_Data_Extended_Data_Fig_11C.csv`, `results/source_data/Source_Data_Extended_Data_Fig_11D.csv`, `results/source_data/Source_Data_Extended_Data_Fig_12A_C_distance_dynamics.csv`, `results/source_data/Source_Data_Extended_Data_Fig_12D_core_to_far.csv`, `results/source_data/Source_Data_Extended_Data_Fig_13_selected_xenium_cell_scores.csv`, `results/source_data/Source_Data_Extended_Data_Fig_14A_atlas_counts.csv`, `results/source_data/Source_Data_Extended_Data_Fig_15_local_program_maps.csv`, `results/source_data/Source_Data_Extended_Data_Fig_16_interface_compartments.csv`, `results/source_data/Source_Data_Extended_Data_Fig_17_he_patch_examples.csv`, `results/source_data/Source_Data_Extended_Data_Fig_18_xenium_program_neighborhoods.csv`, `results/source_data/Source_Data_Extended_Data_Fig_19_random_core_null_diagnostics.csv`, `results/source_data/Source_Data_Extended_Data_Fig_20_ecotype_context_flow.csv`, `results/tables/targeted_gene_axis_validation_summary.csv`, `results/tables/targeted_gene_axis_validation_per_sample.csv`, `results/tables/gap1_cxcl9_spp1_polarity_context_summary.csv`, `results/tables/gap1_cxcl9_spp1_polarity_decoupling_correlations.csv`, `results/tables/gap2_cell_state_marker_attribution_context_summary.csv`, `results/tables/gap2_full_reference_projection_deconvolution_context_summary.csv`, `results/tables/gap2_reference_projection_small_vs_full_comparison.csv`, `results/tables/gap3_focused_lr_interface_context_summary.csv`, `results/tables/gap3_focused_lr_interface_correlations.csv`, `results/tables/gse274557_full_caf_core_context_summary.csv`, `results/tables/gse274557_full_caf_core_gradients.csv`, `results/tables/gse274673_xenium_fixed_anchor_context_summary.csv`, `results/tables/gse274673_xenium_fixed_anchor_gradients.csv`, `results/tables/tcga_paad_bulk_context_axis_correlations.csv` and `results/tables/tcga_paad_bulk_context_scores.csv`.</w:t>
      </w:r>
    </w:p>
    <w:p>
      <w:pPr>
        <w:jc w:val="left"/>
      </w:pPr>
      <w:r>
        <w:rPr>
          <w:rFonts w:ascii="Calibri" w:hAnsi="Calibri"/>
          <w:b w:val="0"/>
          <w:sz w:val="22"/>
        </w:rPr>
        <w:t>Regenerated supplementary-module source tables are provided in `results/source_data/Source_Data_supplementary_module1_spatial_specificity_robustness.csv`, `results/source_data/Source_Data_supplementary_module2_metastatic_immune_decoupling.csv`, `results/source_data/Source_Data_supplementary_module3_cell_state_multiresolution_validation.csv`, `results/source_data/Source_Data_supplementary_module4_mechanism_interface_priority.csv`, `results/source_data/Source_Data_supplementary_module5_pathology_tcga_tls_boundaries.csv` and `results/source_data/Source_Data_supplementary_module6_spatial_architecture_mechanism_deepening.csv`. Module-level figure provenance is summarized in `results/reports/submission_figure_captions_and_source_map.md` and `results/reports/submission_package_index.md`.</w:t>
      </w:r>
    </w:p>
    <w:p>
      <w:pPr>
        <w:pStyle w:val="Heading1"/>
      </w:pPr>
      <w:r>
        <w:t>Code availability</w:t>
      </w:r>
    </w:p>
    <w:p>
      <w:pPr>
        <w:jc w:val="left"/>
      </w:pPr>
      <w:r>
        <w:rPr>
          <w:rFonts w:ascii="Calibri" w:hAnsi="Calibri"/>
          <w:b w:val="0"/>
          <w:sz w:val="22"/>
        </w:rPr>
        <w:t>Primary scripts include `scripts/03_mvp_score_visium.py`, `scripts/11_score_gse272362_pdac_updated_rds.R`, `scripts/14_gse272362_random_core_permutation.R`, `scripts/15_mvp_random_core_permutation.R`, `scripts/18_caf_core_threshold_sensitivity.R`, `scripts/22_spatial_ecotype_deep_dive.py`, `scripts/24_gse235315_random_core_anchor.py`, `scripts/25_mechanism_candidate_axes.py`, `scripts/26_make_submission_figure_suite.py`, `scripts/27_export_gse272362_target_gene_expression.R`, `scripts/27_targeted_gene_axis_validation.py`, `scripts/32_cxcl9_spp1_polarity_gap1.py`, `scripts/33_focused_ligand_receptor_gap3.py`, `scripts/34_cell_state_marker_attribution_gap2.py`, `scripts/36_reference_projection_deconvolution_gap2.py`, `scripts/37_compare_gse202051_reference_projection.py`, `scripts/38_tcga_paad_bulk_context.py`, `scripts/39_make_extended_data_figure6_cell_state_reference_support.py`, `scripts/40_make_extended_data_figures8_9_mechanism_support.py`, `scripts/41_external_metastatic_pdac_feasibility.py`, `scripts/42_gse274557_pilot_caf_core_validation.py`, `scripts/43_make_extended_data_figure10_gse274557_external_validation.py`, `scripts/44_make_extended_data_figure10_source_data.py`, `scripts/46_gse274673_xenium_pilot_expression_domain.py`, `scripts/47_gse274673_xenium_two_sample_anchor_sensitivity.py`, `scripts/48_gse274673_xenium_fixed_anchor_validation.py`, `scripts/49_make_candidate_figure4_multiresolution_validation.py`, `scripts/50_make_reference_style_supplement_figures.py`, `scripts/51_make_deep_reference_style_figures.py`, `scripts/52_make_ecotype_flow_figure.py`, `scripts/53_make_candidate_main_figure3_v2.py`, `scripts/54_make_candidate_main_figure3_nc_style.py` and `scripts/55_make_nc_style_main_figures.py`.</w:t>
      </w:r>
    </w:p>
    <w:p>
      <w:pPr>
        <w:jc w:val="left"/>
      </w:pPr>
      <w:r>
        <w:rPr>
          <w:rFonts w:ascii="Calibri" w:hAnsi="Calibri"/>
          <w:b w:val="0"/>
          <w:sz w:val="22"/>
        </w:rPr>
        <w:t>Regenerated module-style supplementary figures are produced by `scripts/67_export_first_two_supplement_modules.py`, `scripts/68_make_supplementary_module3_cell_state_validation.py`, `scripts/69_make_supplementary_module4_mechanism_interface_priority.py`, `scripts/70_make_supplementary_module5_pathology_tcga_tls_boundaries.py` and `scripts/78_make_deep_spatial_architecture_module.py`.</w:t>
      </w:r>
    </w:p>
    <w:p>
      <w:pPr>
        <w:jc w:val="left"/>
      </w:pPr>
      <w:r>
        <w:rPr>
          <w:rFonts w:ascii="Calibri" w:hAnsi="Calibri"/>
          <w:b w:val="0"/>
          <w:sz w:val="22"/>
        </w:rPr>
        <w:t>Custom analysis scripts are currently indexed locally in `results/reports/submission_package_index.md`. For submission, the analysis code should be deposited in a persistent public repository with a DOI or made available to editors and reviewers through the journal system.</w:t>
      </w:r>
    </w:p>
    <w:p>
      <w:pPr>
        <w:pStyle w:val="Heading1"/>
      </w:pPr>
      <w:r>
        <w:t>Acknowledgements</w:t>
      </w:r>
    </w:p>
    <w:p>
      <w:pPr>
        <w:jc w:val="left"/>
      </w:pPr>
      <w:r>
        <w:rPr>
          <w:rFonts w:ascii="Calibri" w:hAnsi="Calibri"/>
          <w:b w:val="0"/>
          <w:sz w:val="22"/>
        </w:rPr>
        <w:t>[Author to complete: funding bodies, grant numbers, institutional support and data/resource acknowledgements.]</w:t>
      </w:r>
    </w:p>
    <w:p>
      <w:pPr>
        <w:pStyle w:val="Heading1"/>
      </w:pPr>
      <w:r>
        <w:t>Author contributions</w:t>
      </w:r>
    </w:p>
    <w:p>
      <w:pPr>
        <w:jc w:val="left"/>
      </w:pPr>
      <w:r>
        <w:rPr>
          <w:rFonts w:ascii="Calibri" w:hAnsi="Calibri"/>
          <w:b w:val="0"/>
          <w:sz w:val="22"/>
        </w:rPr>
        <w:t>[Author to complete using CRediT roles, for example: Conceptualization, Data curation, Formal analysis, Funding acquisition, Investigation, Methodology, Project administration, Resources, Software, Supervision, Validation, Visualization, Writing - original draft, Writing - review and editing.]</w:t>
      </w:r>
    </w:p>
    <w:p>
      <w:pPr>
        <w:pStyle w:val="Heading1"/>
      </w:pPr>
      <w:r>
        <w:t>Competing interests</w:t>
      </w:r>
    </w:p>
    <w:p>
      <w:pPr>
        <w:jc w:val="left"/>
      </w:pPr>
      <w:r>
        <w:rPr>
          <w:rFonts w:ascii="Calibri" w:hAnsi="Calibri"/>
          <w:b w:val="0"/>
          <w:sz w:val="22"/>
        </w:rPr>
        <w:t>[Author to complete. If none: The authors declare no competing interests.]</w:t>
      </w:r>
    </w:p>
    <w:p>
      <w:pPr>
        <w:pStyle w:val="Heading1"/>
      </w:pPr>
      <w:r>
        <w:t>Figure legends</w:t>
      </w:r>
    </w:p>
    <w:p>
      <w:pPr>
        <w:pStyle w:val="Heading2"/>
      </w:pPr>
      <w:r>
        <w:t>Figure 1 | CAF-myeloid cores define reproducible spatial organizing regions in PDAC.</w:t>
      </w:r>
    </w:p>
    <w:p>
      <w:pPr>
        <w:jc w:val="left"/>
      </w:pPr>
      <w:r>
        <w:rPr>
          <w:rFonts w:ascii="Calibri" w:hAnsi="Calibri"/>
          <w:b w:val="0"/>
          <w:sz w:val="22"/>
        </w:rPr>
        <w:t xml:space="preserve">This figure tests whether CAF-myeloid-high regions behave as spatial organizing cores rather than arbitrary same-size tissue regions. </w:t>
      </w:r>
      <w:r>
        <w:rPr>
          <w:rFonts w:ascii="Calibri" w:hAnsi="Calibri"/>
          <w:b/>
          <w:sz w:val="22"/>
        </w:rPr>
        <w:t>a,</w:t>
      </w:r>
      <w:r>
        <w:rPr>
          <w:rFonts w:ascii="Calibri" w:hAnsi="Calibri"/>
          <w:b w:val="0"/>
          <w:sz w:val="22"/>
        </w:rPr>
        <w:t xml:space="preserve"> Cohort scale and evidence roles across public PDAC ST-H&amp;E, validation and cell-resolution datasets. </w:t>
      </w:r>
      <w:r>
        <w:rPr>
          <w:rFonts w:ascii="Calibri" w:hAnsi="Calibri"/>
          <w:b/>
          <w:sz w:val="22"/>
        </w:rPr>
        <w:t>b,</w:t>
      </w:r>
      <w:r>
        <w:rPr>
          <w:rFonts w:ascii="Calibri" w:hAnsi="Calibri"/>
          <w:b w:val="0"/>
          <w:sz w:val="22"/>
        </w:rPr>
        <w:t xml:space="preserve"> Random-core specificity across GSE282302, GSE274103 and GSE235315. Bars show the median difference between the observed distance-to-core Spearman correlation and the random-core median. Labels indicate the number of samples in which the observed CAF-core gradient was more negative than the matched random-core median. </w:t>
      </w:r>
      <w:r>
        <w:rPr>
          <w:rFonts w:ascii="Calibri" w:hAnsi="Calibri"/>
          <w:b/>
          <w:sz w:val="22"/>
        </w:rPr>
        <w:t>c,</w:t>
      </w:r>
      <w:r>
        <w:rPr>
          <w:rFonts w:ascii="Calibri" w:hAnsi="Calibri"/>
          <w:b w:val="0"/>
          <w:sz w:val="22"/>
        </w:rPr>
        <w:t xml:space="preserve"> CAF-core threshold sensitivity across top 15%, top 10% and top 5% within-sample CAF-core definitions. </w:t>
      </w:r>
      <w:r>
        <w:rPr>
          <w:rFonts w:ascii="Calibri" w:hAnsi="Calibri"/>
          <w:b/>
          <w:sz w:val="22"/>
        </w:rPr>
        <w:t>d,</w:t>
      </w:r>
      <w:r>
        <w:rPr>
          <w:rFonts w:ascii="Calibri" w:hAnsi="Calibri"/>
          <w:b w:val="0"/>
          <w:sz w:val="22"/>
        </w:rPr>
        <w:t xml:space="preserve"> Representative same-size random-core null intervals showing observed CAF-core gradients against matched random-core distributions. </w:t>
      </w:r>
      <w:r>
        <w:rPr>
          <w:rFonts w:ascii="Calibri" w:hAnsi="Calibri"/>
          <w:b/>
          <w:sz w:val="22"/>
        </w:rPr>
        <w:t>e,</w:t>
      </w:r>
      <w:r>
        <w:rPr>
          <w:rFonts w:ascii="Calibri" w:hAnsi="Calibri"/>
          <w:b w:val="0"/>
          <w:sz w:val="22"/>
        </w:rPr>
        <w:t xml:space="preserve"> Median program decay from CAF-core to far regions across discovery/support cohorts. </w:t>
      </w:r>
      <w:r>
        <w:rPr>
          <w:rFonts w:ascii="Calibri" w:hAnsi="Calibri"/>
          <w:b/>
          <w:sz w:val="22"/>
        </w:rPr>
        <w:t>f-j,</w:t>
      </w:r>
      <w:r>
        <w:rPr>
          <w:rFonts w:ascii="Calibri" w:hAnsi="Calibri"/>
          <w:b w:val="0"/>
          <w:sz w:val="22"/>
        </w:rPr>
        <w:t xml:space="preserve"> Representative post-neoadjuvant GSE282302 section showing H&amp;E, CAF-core rings, CAF-myeloid, IFN/MHC, tumor-aggressive and immune-core spatial programs. The figure supports spatial organization around CAF-myeloid cores but not causality, mature TLS formation or clinical outcome prediction.</w:t>
      </w:r>
    </w:p>
    <w:p>
      <w:pPr>
        <w:pStyle w:val="Heading2"/>
      </w:pPr>
      <w:r>
        <w:t>Figure 2 | Lymph-node metastases uncouple immune programs from CAF-myeloid cores.</w:t>
      </w:r>
    </w:p>
    <w:p>
      <w:pPr>
        <w:jc w:val="left"/>
      </w:pPr>
      <w:r>
        <w:rPr>
          <w:rFonts w:ascii="Calibri" w:hAnsi="Calibri"/>
          <w:b w:val="0"/>
          <w:sz w:val="22"/>
        </w:rPr>
        <w:t xml:space="preserve">This figure tests whether metastatic site changes the immune programs organized around CAF-myeloid cores. </w:t>
      </w:r>
      <w:r>
        <w:rPr>
          <w:rFonts w:ascii="Calibri" w:hAnsi="Calibri"/>
          <w:b/>
          <w:sz w:val="22"/>
        </w:rPr>
        <w:t>a,</w:t>
      </w:r>
      <w:r>
        <w:rPr>
          <w:rFonts w:ascii="Calibri" w:hAnsi="Calibri"/>
          <w:b w:val="0"/>
          <w:sz w:val="22"/>
        </w:rPr>
        <w:t xml:space="preserve"> GSE272362 validation atlas composition by specimen site. </w:t>
      </w:r>
      <w:r>
        <w:rPr>
          <w:rFonts w:ascii="Calibri" w:hAnsi="Calibri"/>
          <w:b/>
          <w:sz w:val="22"/>
        </w:rPr>
        <w:t>b,</w:t>
      </w:r>
      <w:r>
        <w:rPr>
          <w:rFonts w:ascii="Calibri" w:hAnsi="Calibri"/>
          <w:b w:val="0"/>
          <w:sz w:val="22"/>
        </w:rPr>
        <w:t xml:space="preserve"> Random-core validation across primary tumors, liver metastases and lymph-node metastases. Primary tumors and liver metastases validate CAF-core-centered IFN/MHC, immune-core and tumor-aggressive organization. Lymph-node metastases retain tumor-aggressive CAF association but show inconsistent CAF-core-centered IFN/MHC and immune-core organization. </w:t>
      </w:r>
      <w:r>
        <w:rPr>
          <w:rFonts w:ascii="Calibri" w:hAnsi="Calibri"/>
          <w:b/>
          <w:sz w:val="22"/>
        </w:rPr>
        <w:t>c,</w:t>
      </w:r>
      <w:r>
        <w:rPr>
          <w:rFonts w:ascii="Calibri" w:hAnsi="Calibri"/>
          <w:b w:val="0"/>
          <w:sz w:val="22"/>
        </w:rPr>
        <w:t xml:space="preserve"> CAF-core subprogram decomposition across specimen sites. Negative values indicate enrichment nearer to the CAF core. </w:t>
      </w:r>
      <w:r>
        <w:rPr>
          <w:rFonts w:ascii="Calibri" w:hAnsi="Calibri"/>
          <w:b/>
          <w:sz w:val="22"/>
        </w:rPr>
        <w:t>d,</w:t>
      </w:r>
      <w:r>
        <w:rPr>
          <w:rFonts w:ascii="Calibri" w:hAnsi="Calibri"/>
          <w:b w:val="0"/>
          <w:sz w:val="22"/>
        </w:rPr>
        <w:t xml:space="preserve"> Immune-decoupling index across tissue contexts, defined as stromal-tumor CAF-core enrichment minus immune CAF-core enrichment. </w:t>
      </w:r>
      <w:r>
        <w:rPr>
          <w:rFonts w:ascii="Calibri" w:hAnsi="Calibri"/>
          <w:b/>
          <w:sz w:val="22"/>
        </w:rPr>
        <w:t>e-p,</w:t>
      </w:r>
      <w:r>
        <w:rPr>
          <w:rFonts w:ascii="Calibri" w:hAnsi="Calibri"/>
          <w:b w:val="0"/>
          <w:sz w:val="22"/>
        </w:rPr>
        <w:t xml:space="preserve"> Representative primary, liver-metastatic and lymph-node-metastatic sections showing H&amp;E plus CAF-core rings, IFN/MHC, immune-core and tumor-aggressive programs. The figure supports a lymph-node immune-decoupling lead, not a clinical subtype or causal mechanism.</w:t>
      </w:r>
    </w:p>
    <w:p>
      <w:pPr>
        <w:pStyle w:val="Heading2"/>
      </w:pPr>
      <w:r>
        <w:t>Figure 3 | CAF-core ecotypes expose invasive-interface and immune-coupling axes.</w:t>
      </w:r>
    </w:p>
    <w:p>
      <w:pPr>
        <w:jc w:val="left"/>
      </w:pPr>
      <w:r>
        <w:rPr>
          <w:rFonts w:ascii="Calibri" w:hAnsi="Calibri"/>
          <w:b w:val="0"/>
          <w:sz w:val="22"/>
        </w:rPr>
        <w:t xml:space="preserve">This figure asks what biological states are encoded by the CAF-core architecture. </w:t>
      </w:r>
      <w:r>
        <w:rPr>
          <w:rFonts w:ascii="Calibri" w:hAnsi="Calibri"/>
          <w:b/>
          <w:sz w:val="22"/>
        </w:rPr>
        <w:t>a,</w:t>
      </w:r>
      <w:r>
        <w:rPr>
          <w:rFonts w:ascii="Calibri" w:hAnsi="Calibri"/>
          <w:b w:val="0"/>
          <w:sz w:val="22"/>
        </w:rPr>
        <w:t xml:space="preserve"> CAF-core NMF ecotype loadings across stromal, myeloid, immune and tumor-state programs. </w:t>
      </w:r>
      <w:r>
        <w:rPr>
          <w:rFonts w:ascii="Calibri" w:hAnsi="Calibri"/>
          <w:b/>
          <w:sz w:val="22"/>
        </w:rPr>
        <w:t>b,</w:t>
      </w:r>
      <w:r>
        <w:rPr>
          <w:rFonts w:ascii="Calibri" w:hAnsi="Calibri"/>
          <w:b w:val="0"/>
          <w:sz w:val="22"/>
        </w:rPr>
        <w:t xml:space="preserve"> Context-to-ecotype architecture summarizing the distribution of dominant CAF-core ecotypes across analyzed tissue contexts. </w:t>
      </w:r>
      <w:r>
        <w:rPr>
          <w:rFonts w:ascii="Calibri" w:hAnsi="Calibri"/>
          <w:b/>
          <w:sz w:val="22"/>
        </w:rPr>
        <w:t>c,</w:t>
      </w:r>
      <w:r>
        <w:rPr>
          <w:rFonts w:ascii="Calibri" w:hAnsi="Calibri"/>
          <w:b w:val="0"/>
          <w:sz w:val="22"/>
        </w:rPr>
        <w:t xml:space="preserve"> Dominant CAF-core ecotype composition by cohort or specimen context. </w:t>
      </w:r>
      <w:r>
        <w:rPr>
          <w:rFonts w:ascii="Calibri" w:hAnsi="Calibri"/>
          <w:b/>
          <w:sz w:val="22"/>
        </w:rPr>
        <w:t>d,</w:t>
      </w:r>
      <w:r>
        <w:rPr>
          <w:rFonts w:ascii="Calibri" w:hAnsi="Calibri"/>
          <w:b w:val="0"/>
          <w:sz w:val="22"/>
        </w:rPr>
        <w:t xml:space="preserve"> Immune-decoupling index by dominant CAF-core ecotype, defined as stromal-tumor CAF-core coupling minus immune CAF-core coupling. </w:t>
      </w:r>
      <w:r>
        <w:rPr>
          <w:rFonts w:ascii="Calibri" w:hAnsi="Calibri"/>
          <w:b/>
          <w:sz w:val="22"/>
        </w:rPr>
        <w:t>e,</w:t>
      </w:r>
      <w:r>
        <w:rPr>
          <w:rFonts w:ascii="Calibri" w:hAnsi="Calibri"/>
          <w:b w:val="0"/>
          <w:sz w:val="22"/>
        </w:rPr>
        <w:t xml:space="preserve"> Candidate-axis enrichment in CAF cores and tumor-stroma interfaces. </w:t>
      </w:r>
      <w:r>
        <w:rPr>
          <w:rFonts w:ascii="Calibri" w:hAnsi="Calibri"/>
          <w:b/>
          <w:sz w:val="22"/>
        </w:rPr>
        <w:t>f,</w:t>
      </w:r>
      <w:r>
        <w:rPr>
          <w:rFonts w:ascii="Calibri" w:hAnsi="Calibri"/>
          <w:b w:val="0"/>
          <w:sz w:val="22"/>
        </w:rPr>
        <w:t xml:space="preserve"> Spearman correlations between candidate-axis CAF-core enrichment and the immune-decoupling index across samples. </w:t>
      </w:r>
      <w:r>
        <w:rPr>
          <w:rFonts w:ascii="Calibri" w:hAnsi="Calibri"/>
          <w:b/>
          <w:sz w:val="22"/>
        </w:rPr>
        <w:t>g-r,</w:t>
      </w:r>
      <w:r>
        <w:rPr>
          <w:rFonts w:ascii="Calibri" w:hAnsi="Calibri"/>
          <w:b w:val="0"/>
          <w:sz w:val="22"/>
        </w:rPr>
        <w:t xml:space="preserve"> Representative primary tumor, liver-metastasis and lymph-node-metastasis spatial maps showing compartment assignments, SPP1/TAM, TGF-beta and tumor-aggressive programs; cyan outlines mark tumor-stroma interface spots. The figure nominates pathway-level axes and representative spatial states for follow-up validation, not causal ligand-receptor signaling.</w:t>
      </w:r>
    </w:p>
    <w:p>
      <w:pPr>
        <w:pStyle w:val="Heading2"/>
      </w:pPr>
      <w:r>
        <w:t>Figure 4 | Independent Visium and Xenium data validate CAF-domain organization at complementary resolutions.</w:t>
      </w:r>
    </w:p>
    <w:p>
      <w:pPr>
        <w:jc w:val="left"/>
      </w:pPr>
      <w:r>
        <w:rPr>
          <w:rFonts w:ascii="Calibri" w:hAnsi="Calibri"/>
          <w:b w:val="0"/>
          <w:sz w:val="22"/>
        </w:rPr>
        <w:t xml:space="preserve">This figure tests whether the CAF-domain model generalizes across independent Visium sections and cell-resolution Xenium data. </w:t>
      </w:r>
      <w:r>
        <w:rPr>
          <w:rFonts w:ascii="Calibri" w:hAnsi="Calibri"/>
          <w:b/>
          <w:sz w:val="22"/>
        </w:rPr>
        <w:t>a,</w:t>
      </w:r>
      <w:r>
        <w:rPr>
          <w:rFonts w:ascii="Calibri" w:hAnsi="Calibri"/>
          <w:b w:val="0"/>
          <w:sz w:val="22"/>
        </w:rPr>
        <w:t xml:space="preserve"> External validation scale across GSE274557 Visium primary and metastatic tissue contexts and GSE274673 Xenium treatment contexts. </w:t>
      </w:r>
      <w:r>
        <w:rPr>
          <w:rFonts w:ascii="Calibri" w:hAnsi="Calibri"/>
          <w:b/>
          <w:sz w:val="22"/>
        </w:rPr>
        <w:t>b,</w:t>
      </w:r>
      <w:r>
        <w:rPr>
          <w:rFonts w:ascii="Calibri" w:hAnsi="Calibri"/>
          <w:b w:val="0"/>
          <w:sz w:val="22"/>
        </w:rPr>
        <w:t xml:space="preserve"> GSE274557 Visium CAF-core validation across primary PDAC, liver metastasis, lung metastasis and peritoneal metastasis. Tiles show median observed-minus-random distance-to-CAF-core Spearman rho after 1,000 same-size random cores per sample, with labels showing support counts. </w:t>
      </w:r>
      <w:r>
        <w:rPr>
          <w:rFonts w:ascii="Calibri" w:hAnsi="Calibri"/>
          <w:b/>
          <w:sz w:val="22"/>
        </w:rPr>
        <w:t>c,</w:t>
      </w:r>
      <w:r>
        <w:rPr>
          <w:rFonts w:ascii="Calibri" w:hAnsi="Calibri"/>
          <w:b w:val="0"/>
          <w:sz w:val="22"/>
        </w:rPr>
        <w:t xml:space="preserve"> GSE274673 Xenium fixed-anchor cohort summary for CAF-APC and CAF-SPP1/TAM anchors. </w:t>
      </w:r>
      <w:r>
        <w:rPr>
          <w:rFonts w:ascii="Calibri" w:hAnsi="Calibri"/>
          <w:b/>
          <w:sz w:val="22"/>
        </w:rPr>
        <w:t>d,</w:t>
      </w:r>
      <w:r>
        <w:rPr>
          <w:rFonts w:ascii="Calibri" w:hAnsi="Calibri"/>
          <w:b w:val="0"/>
          <w:sz w:val="22"/>
        </w:rPr>
        <w:t xml:space="preserve"> CAF-SPP1/TAM anchor deltas across all six Xenium sections. Negative values indicate stronger target-program centering around CAF-domain anchors than around matched random cell anchors. </w:t>
      </w:r>
      <w:r>
        <w:rPr>
          <w:rFonts w:ascii="Calibri" w:hAnsi="Calibri"/>
          <w:b/>
          <w:sz w:val="22"/>
        </w:rPr>
        <w:t>e-l,</w:t>
      </w:r>
      <w:r>
        <w:rPr>
          <w:rFonts w:ascii="Calibri" w:hAnsi="Calibri"/>
          <w:b w:val="0"/>
          <w:sz w:val="22"/>
        </w:rPr>
        <w:t xml:space="preserve"> Representative treatment-naive and chemoradiotherapy-treated Xenium sections showing CAF-SPP1/TAM anchor, SPP1/TAM, IFN/APC and tumor epithelial programs at cell resolution. The figure supports independent Visium and cell-resolution validation of CAF-domain immune/myeloid organization but does not establish lymph-node-specific validation in GSE274557, direct CAF-to-tumor epithelial proximity in GSE274673 or causal signaling.</w:t>
      </w:r>
    </w:p>
    <w:p>
      <w:pPr>
        <w:pStyle w:val="Heading1"/>
      </w:pPr>
      <w:r>
        <w:t>Extended Data figure legends</w:t>
      </w:r>
    </w:p>
    <w:p>
      <w:pPr>
        <w:pStyle w:val="Heading2"/>
      </w:pPr>
      <w:r>
        <w:t>Extended Data Figure 1 | Spatial specificity and robustness of CAF-myeloid cores.</w:t>
      </w:r>
    </w:p>
    <w:p>
      <w:pPr>
        <w:jc w:val="left"/>
      </w:pPr>
      <w:r>
        <w:rPr>
          <w:rFonts w:ascii="Calibri" w:hAnsi="Calibri"/>
          <w:b w:val="0"/>
          <w:sz w:val="22"/>
        </w:rPr>
        <w:t xml:space="preserve">Regenerated module-style synthesis of the spatial-specificity evidence. </w:t>
      </w:r>
      <w:r>
        <w:rPr>
          <w:rFonts w:ascii="Calibri" w:hAnsi="Calibri"/>
          <w:b/>
          <w:sz w:val="22"/>
        </w:rPr>
        <w:t>a,</w:t>
      </w:r>
      <w:r>
        <w:rPr>
          <w:rFonts w:ascii="Calibri" w:hAnsi="Calibri"/>
          <w:b w:val="0"/>
          <w:sz w:val="22"/>
        </w:rPr>
        <w:t xml:space="preserve"> Cross-cohort random-core specificity for CAF-core-centered target programs. </w:t>
      </w:r>
      <w:r>
        <w:rPr>
          <w:rFonts w:ascii="Calibri" w:hAnsi="Calibri"/>
          <w:b/>
          <w:sz w:val="22"/>
        </w:rPr>
        <w:t>b,</w:t>
      </w:r>
      <w:r>
        <w:rPr>
          <w:rFonts w:ascii="Calibri" w:hAnsi="Calibri"/>
          <w:b w:val="0"/>
          <w:sz w:val="22"/>
        </w:rPr>
        <w:t xml:space="preserve"> CAF-core threshold sensitivity across top 15%, top 10% and top 5% definitions. </w:t>
      </w:r>
      <w:r>
        <w:rPr>
          <w:rFonts w:ascii="Calibri" w:hAnsi="Calibri"/>
          <w:b/>
          <w:sz w:val="22"/>
        </w:rPr>
        <w:t>c,d,</w:t>
      </w:r>
      <w:r>
        <w:rPr>
          <w:rFonts w:ascii="Calibri" w:hAnsi="Calibri"/>
          <w:b w:val="0"/>
          <w:sz w:val="22"/>
        </w:rPr>
        <w:t xml:space="preserve"> Distance-gradient and core-to-far summaries from CAF-core-proximal to distal regions. </w:t>
      </w:r>
      <w:r>
        <w:rPr>
          <w:rFonts w:ascii="Calibri" w:hAnsi="Calibri"/>
          <w:b/>
          <w:sz w:val="22"/>
        </w:rPr>
        <w:t>e,f,</w:t>
      </w:r>
      <w:r>
        <w:rPr>
          <w:rFonts w:ascii="Calibri" w:hAnsi="Calibri"/>
          <w:b w:val="0"/>
          <w:sz w:val="22"/>
        </w:rPr>
        <w:t xml:space="preserve"> Independent GSE274557 Visium and GSE274673 Xenium support layers. </w:t>
      </w:r>
      <w:r>
        <w:rPr>
          <w:rFonts w:ascii="Calibri" w:hAnsi="Calibri"/>
          <w:b/>
          <w:sz w:val="22"/>
        </w:rPr>
        <w:t>g,</w:t>
      </w:r>
      <w:r>
        <w:rPr>
          <w:rFonts w:ascii="Calibri" w:hAnsi="Calibri"/>
          <w:b w:val="0"/>
          <w:sz w:val="22"/>
        </w:rPr>
        <w:t xml:space="preserve"> Cross-context support fraction. This module supports spatial specificity and robustness to null-core and threshold perturbations; it remains observational and program-defined.</w:t>
      </w:r>
    </w:p>
    <w:p>
      <w:pPr>
        <w:pStyle w:val="Heading2"/>
      </w:pPr>
      <w:r>
        <w:t>Extended Data Figure 2 | Metastatic-site remodeling and lymph-node immune decoupling.</w:t>
      </w:r>
    </w:p>
    <w:p>
      <w:pPr>
        <w:jc w:val="left"/>
      </w:pPr>
      <w:r>
        <w:rPr>
          <w:rFonts w:ascii="Calibri" w:hAnsi="Calibri"/>
          <w:b w:val="0"/>
          <w:sz w:val="22"/>
        </w:rPr>
        <w:t xml:space="preserve">Regenerated module-style synthesis of the GSE272362 metastatic-site analysis. </w:t>
      </w:r>
      <w:r>
        <w:rPr>
          <w:rFonts w:ascii="Calibri" w:hAnsi="Calibri"/>
          <w:b/>
          <w:sz w:val="22"/>
        </w:rPr>
        <w:t>a,</w:t>
      </w:r>
      <w:r>
        <w:rPr>
          <w:rFonts w:ascii="Calibri" w:hAnsi="Calibri"/>
          <w:b w:val="0"/>
          <w:sz w:val="22"/>
        </w:rPr>
        <w:t xml:space="preserve"> Site-level scale across primary tumors, liver metastases and lymph-node metastases. </w:t>
      </w:r>
      <w:r>
        <w:rPr>
          <w:rFonts w:ascii="Calibri" w:hAnsi="Calibri"/>
          <w:b/>
          <w:sz w:val="22"/>
        </w:rPr>
        <w:t>b,</w:t>
      </w:r>
      <w:r>
        <w:rPr>
          <w:rFonts w:ascii="Calibri" w:hAnsi="Calibri"/>
          <w:b w:val="0"/>
          <w:sz w:val="22"/>
        </w:rPr>
        <w:t xml:space="preserve"> Same-size random-core support for IFN/MHC, immune-core and tumor-aggressive programs by site. </w:t>
      </w:r>
      <w:r>
        <w:rPr>
          <w:rFonts w:ascii="Calibri" w:hAnsi="Calibri"/>
          <w:b/>
          <w:sz w:val="22"/>
        </w:rPr>
        <w:t>c,</w:t>
      </w:r>
      <w:r>
        <w:rPr>
          <w:rFonts w:ascii="Calibri" w:hAnsi="Calibri"/>
          <w:b w:val="0"/>
          <w:sz w:val="22"/>
        </w:rPr>
        <w:t xml:space="preserve"> CAF-core subprogram distance gradients. </w:t>
      </w:r>
      <w:r>
        <w:rPr>
          <w:rFonts w:ascii="Calibri" w:hAnsi="Calibri"/>
          <w:b/>
          <w:sz w:val="22"/>
        </w:rPr>
        <w:t>d,</w:t>
      </w:r>
      <w:r>
        <w:rPr>
          <w:rFonts w:ascii="Calibri" w:hAnsi="Calibri"/>
          <w:b w:val="0"/>
          <w:sz w:val="22"/>
        </w:rPr>
        <w:t xml:space="preserve"> Stromal-tumor coupling, immune-core coupling and immune-decoupling index. </w:t>
      </w:r>
      <w:r>
        <w:rPr>
          <w:rFonts w:ascii="Calibri" w:hAnsi="Calibri"/>
          <w:b/>
          <w:sz w:val="22"/>
        </w:rPr>
        <w:t>e,f,</w:t>
      </w:r>
      <w:r>
        <w:rPr>
          <w:rFonts w:ascii="Calibri" w:hAnsi="Calibri"/>
          <w:b w:val="0"/>
          <w:sz w:val="22"/>
        </w:rPr>
        <w:t xml:space="preserve"> Patient-matched primary-to-metastasis deltas where available. </w:t>
      </w:r>
      <w:r>
        <w:rPr>
          <w:rFonts w:ascii="Calibri" w:hAnsi="Calibri"/>
          <w:b/>
          <w:sz w:val="22"/>
        </w:rPr>
        <w:t>g,</w:t>
      </w:r>
      <w:r>
        <w:rPr>
          <w:rFonts w:ascii="Calibri" w:hAnsi="Calibri"/>
          <w:b w:val="0"/>
          <w:sz w:val="22"/>
        </w:rPr>
        <w:t xml:space="preserve"> Interpretation boundary for the lymph-node result. This module supports a metastatic-site immune-remodeling lead, not a clinical subtype, prognosis marker or causal mechanism.</w:t>
      </w:r>
    </w:p>
    <w:p>
      <w:pPr>
        <w:pStyle w:val="Heading2"/>
      </w:pPr>
      <w:r>
        <w:t>Extended Data Figure 3 | Cell-state interpretation and multi-resolution validation.</w:t>
      </w:r>
    </w:p>
    <w:p>
      <w:pPr>
        <w:jc w:val="left"/>
      </w:pPr>
      <w:r>
        <w:rPr>
          <w:rFonts w:ascii="Calibri" w:hAnsi="Calibri"/>
          <w:b w:val="0"/>
          <w:sz w:val="22"/>
        </w:rPr>
        <w:t xml:space="preserve">Regenerated module-style synthesis of marker, reference-projection, strict NNLS and Xenium evidence. </w:t>
      </w:r>
      <w:r>
        <w:rPr>
          <w:rFonts w:ascii="Calibri" w:hAnsi="Calibri"/>
          <w:b/>
          <w:sz w:val="22"/>
        </w:rPr>
        <w:t>a,b,</w:t>
      </w:r>
      <w:r>
        <w:rPr>
          <w:rFonts w:ascii="Calibri" w:hAnsi="Calibri"/>
          <w:b w:val="0"/>
          <w:sz w:val="22"/>
        </w:rPr>
        <w:t xml:space="preserve"> Marker-state CAF-core enrichment and spot-level association with CAF-myeloid score. </w:t>
      </w:r>
      <w:r>
        <w:rPr>
          <w:rFonts w:ascii="Calibri" w:hAnsi="Calibri"/>
          <w:b/>
          <w:sz w:val="22"/>
        </w:rPr>
        <w:t>c,d,</w:t>
      </w:r>
      <w:r>
        <w:rPr>
          <w:rFonts w:ascii="Calibri" w:hAnsi="Calibri"/>
          <w:b w:val="0"/>
          <w:sz w:val="22"/>
        </w:rPr>
        <w:t xml:space="preserve"> Marker-level, full-reference and strict NNLS associations with immune decoupling. </w:t>
      </w:r>
      <w:r>
        <w:rPr>
          <w:rFonts w:ascii="Calibri" w:hAnsi="Calibri"/>
          <w:b/>
          <w:sz w:val="22"/>
        </w:rPr>
        <w:t>e,</w:t>
      </w:r>
      <w:r>
        <w:rPr>
          <w:rFonts w:ascii="Calibri" w:hAnsi="Calibri"/>
          <w:b w:val="0"/>
          <w:sz w:val="22"/>
        </w:rPr>
        <w:t xml:space="preserve"> Small-reference versus full-reference projection stability. </w:t>
      </w:r>
      <w:r>
        <w:rPr>
          <w:rFonts w:ascii="Calibri" w:hAnsi="Calibri"/>
          <w:b/>
          <w:sz w:val="22"/>
        </w:rPr>
        <w:t>f,g,</w:t>
      </w:r>
      <w:r>
        <w:rPr>
          <w:rFonts w:ascii="Calibri" w:hAnsi="Calibri"/>
          <w:b w:val="0"/>
          <w:sz w:val="22"/>
        </w:rPr>
        <w:t xml:space="preserve"> Xenium CAF-domain support and signature/sample coverage. </w:t>
      </w:r>
      <w:r>
        <w:rPr>
          <w:rFonts w:ascii="Calibri" w:hAnsi="Calibri"/>
          <w:b/>
          <w:sz w:val="22"/>
        </w:rPr>
        <w:t>h,</w:t>
      </w:r>
      <w:r>
        <w:rPr>
          <w:rFonts w:ascii="Calibri" w:hAnsi="Calibri"/>
          <w:b w:val="0"/>
          <w:sz w:val="22"/>
        </w:rPr>
        <w:t xml:space="preserve"> Claim ladder distinguishing supported cell-state interpretation from unsupported single-cell-resolved ground truth. This module strengthens cellular interpretation but does not replace immunostaining, image segmentation or orthogonal cell-abundance validation.</w:t>
      </w:r>
    </w:p>
    <w:p>
      <w:pPr>
        <w:pStyle w:val="Heading2"/>
      </w:pPr>
      <w:r>
        <w:t>Extended Data Figure 4 | Mechanism, interface biology and perturbation-priority axes.</w:t>
      </w:r>
    </w:p>
    <w:p>
      <w:pPr>
        <w:jc w:val="left"/>
      </w:pPr>
      <w:r>
        <w:rPr>
          <w:rFonts w:ascii="Calibri" w:hAnsi="Calibri"/>
          <w:b w:val="0"/>
          <w:sz w:val="22"/>
        </w:rPr>
        <w:t xml:space="preserve">Regenerated module-style synthesis of mechanism nomination. </w:t>
      </w:r>
      <w:r>
        <w:rPr>
          <w:rFonts w:ascii="Calibri" w:hAnsi="Calibri"/>
          <w:b/>
          <w:sz w:val="22"/>
        </w:rPr>
        <w:t>a,</w:t>
      </w:r>
      <w:r>
        <w:rPr>
          <w:rFonts w:ascii="Calibri" w:hAnsi="Calibri"/>
          <w:b w:val="0"/>
          <w:sz w:val="22"/>
        </w:rPr>
        <w:t xml:space="preserve"> Evidence-layer matrix across matrix-integrin, SPP1-CD44/integrin, TGF-beta/TGFBR and IL6-OSM/LIF-JAKSTAT. </w:t>
      </w:r>
      <w:r>
        <w:rPr>
          <w:rFonts w:ascii="Calibri" w:hAnsi="Calibri"/>
          <w:b/>
          <w:sz w:val="22"/>
        </w:rPr>
        <w:t>b,</w:t>
      </w:r>
      <w:r>
        <w:rPr>
          <w:rFonts w:ascii="Calibri" w:hAnsi="Calibri"/>
          <w:b w:val="0"/>
          <w:sz w:val="22"/>
        </w:rPr>
        <w:t xml:space="preserve"> Perturbation-priority rank. </w:t>
      </w:r>
      <w:r>
        <w:rPr>
          <w:rFonts w:ascii="Calibri" w:hAnsi="Calibri"/>
          <w:b/>
          <w:sz w:val="22"/>
        </w:rPr>
        <w:t>c,d,</w:t>
      </w:r>
      <w:r>
        <w:rPr>
          <w:rFonts w:ascii="Calibri" w:hAnsi="Calibri"/>
          <w:b w:val="0"/>
          <w:sz w:val="22"/>
        </w:rPr>
        <w:t xml:space="preserve"> Targeted-gene CAF-core and interface enrichment across contexts. </w:t>
      </w:r>
      <w:r>
        <w:rPr>
          <w:rFonts w:ascii="Calibri" w:hAnsi="Calibri"/>
          <w:b/>
          <w:sz w:val="22"/>
        </w:rPr>
        <w:t>e,</w:t>
      </w:r>
      <w:r>
        <w:rPr>
          <w:rFonts w:ascii="Calibri" w:hAnsi="Calibri"/>
          <w:b w:val="0"/>
          <w:sz w:val="22"/>
        </w:rPr>
        <w:t xml:space="preserve"> Focused ligand-core, receptor-interface, response-interface and directional metrics. </w:t>
      </w:r>
      <w:r>
        <w:rPr>
          <w:rFonts w:ascii="Calibri" w:hAnsi="Calibri"/>
          <w:b/>
          <w:sz w:val="22"/>
        </w:rPr>
        <w:t>f,</w:t>
      </w:r>
      <w:r>
        <w:rPr>
          <w:rFonts w:ascii="Calibri" w:hAnsi="Calibri"/>
          <w:b w:val="0"/>
          <w:sz w:val="22"/>
        </w:rPr>
        <w:t xml:space="preserve"> Directional-score associations with immune decoupling and stromal-tumor coupling. </w:t>
      </w:r>
      <w:r>
        <w:rPr>
          <w:rFonts w:ascii="Calibri" w:hAnsi="Calibri"/>
          <w:b/>
          <w:sz w:val="22"/>
        </w:rPr>
        <w:t>g,</w:t>
      </w:r>
      <w:r>
        <w:rPr>
          <w:rFonts w:ascii="Calibri" w:hAnsi="Calibri"/>
          <w:b w:val="0"/>
          <w:sz w:val="22"/>
        </w:rPr>
        <w:t xml:space="preserve"> External-context anchors. </w:t>
      </w:r>
      <w:r>
        <w:rPr>
          <w:rFonts w:ascii="Calibri" w:hAnsi="Calibri"/>
          <w:b/>
          <w:sz w:val="22"/>
        </w:rPr>
        <w:t>h,</w:t>
      </w:r>
      <w:r>
        <w:rPr>
          <w:rFonts w:ascii="Calibri" w:hAnsi="Calibri"/>
          <w:b w:val="0"/>
          <w:sz w:val="22"/>
        </w:rPr>
        <w:t xml:space="preserve"> Claim ladder for mechanism follow-up. This module nominates matrix-integrin and SPP1-CD44/integrin as leading perturbation-ready axes, but it does not establish causal ligand-receptor signaling.</w:t>
      </w:r>
    </w:p>
    <w:p>
      <w:pPr>
        <w:pStyle w:val="Heading2"/>
      </w:pPr>
      <w:r>
        <w:t>Extended Data Figure 5 | Pathology bridge, TCGA context and TLS/claim boundaries.</w:t>
      </w:r>
    </w:p>
    <w:p>
      <w:pPr>
        <w:jc w:val="left"/>
      </w:pPr>
      <w:r>
        <w:rPr>
          <w:rFonts w:ascii="Calibri" w:hAnsi="Calibri"/>
          <w:b w:val="0"/>
          <w:sz w:val="22"/>
        </w:rPr>
        <w:t xml:space="preserve">Regenerated module-style synthesis of translational context and claim boundaries. </w:t>
      </w:r>
      <w:r>
        <w:rPr>
          <w:rFonts w:ascii="Calibri" w:hAnsi="Calibri"/>
          <w:b/>
          <w:sz w:val="22"/>
        </w:rPr>
        <w:t>a,b,</w:t>
      </w:r>
      <w:r>
        <w:rPr>
          <w:rFonts w:ascii="Calibri" w:hAnsi="Calibri"/>
          <w:b w:val="0"/>
          <w:sz w:val="22"/>
        </w:rPr>
        <w:t xml:space="preserve"> H&amp;E patch-model performance and feature-direction map. </w:t>
      </w:r>
      <w:r>
        <w:rPr>
          <w:rFonts w:ascii="Calibri" w:hAnsi="Calibri"/>
          <w:b/>
          <w:sz w:val="22"/>
        </w:rPr>
        <w:t>c,d,</w:t>
      </w:r>
      <w:r>
        <w:rPr>
          <w:rFonts w:ascii="Calibri" w:hAnsi="Calibri"/>
          <w:b w:val="0"/>
          <w:sz w:val="22"/>
        </w:rPr>
        <w:t xml:space="preserve"> TCGA PAAD bulk-axis correlation and exploratory univariable survival context. </w:t>
      </w:r>
      <w:r>
        <w:rPr>
          <w:rFonts w:ascii="Calibri" w:hAnsi="Calibri"/>
          <w:b/>
          <w:sz w:val="22"/>
        </w:rPr>
        <w:t>e,f,</w:t>
      </w:r>
      <w:r>
        <w:rPr>
          <w:rFonts w:ascii="Calibri" w:hAnsi="Calibri"/>
          <w:b w:val="0"/>
          <w:sz w:val="22"/>
        </w:rPr>
        <w:t xml:space="preserve"> TLS-compatibility and immune-compartment stress testing. </w:t>
      </w:r>
      <w:r>
        <w:rPr>
          <w:rFonts w:ascii="Calibri" w:hAnsi="Calibri"/>
          <w:b/>
          <w:sz w:val="22"/>
        </w:rPr>
        <w:t>g,</w:t>
      </w:r>
      <w:r>
        <w:rPr>
          <w:rFonts w:ascii="Calibri" w:hAnsi="Calibri"/>
          <w:b w:val="0"/>
          <w:sz w:val="22"/>
        </w:rPr>
        <w:t xml:space="preserve"> Boundary map for reviewer-risk claims. This module supports translational plausibility and explicit claim control; it does not establish mature TLS biology, clinical-grade pathology prediction, prognosis, therapy response, spatial localization from TCGA or causal signaling.</w:t>
      </w:r>
    </w:p>
    <w:p>
      <w:pPr>
        <w:pStyle w:val="Heading2"/>
      </w:pPr>
      <w:r>
        <w:t>Extended Data Figure 6 | Deep spatial architecture and mechanism-deepening evidence.</w:t>
      </w:r>
    </w:p>
    <w:p>
      <w:pPr>
        <w:jc w:val="left"/>
      </w:pPr>
      <w:r>
        <w:rPr>
          <w:rFonts w:ascii="Calibri" w:hAnsi="Calibri"/>
          <w:b w:val="0"/>
          <w:sz w:val="22"/>
        </w:rPr>
        <w:t xml:space="preserve">Regenerated module-style synthesis of ED30-ED33 deepening analyses. </w:t>
      </w:r>
      <w:r>
        <w:rPr>
          <w:rFonts w:ascii="Calibri" w:hAnsi="Calibri"/>
          <w:b/>
          <w:sz w:val="22"/>
        </w:rPr>
        <w:t>a,</w:t>
      </w:r>
      <w:r>
        <w:rPr>
          <w:rFonts w:ascii="Calibri" w:hAnsi="Calibri"/>
          <w:b w:val="0"/>
          <w:sz w:val="22"/>
        </w:rPr>
        <w:t xml:space="preserve"> Evidence chain linking anchor specificity, Xenium cell-neighborhoods, core-to-interface gradients and CAF-core geometry. </w:t>
      </w:r>
      <w:r>
        <w:rPr>
          <w:rFonts w:ascii="Calibri" w:hAnsi="Calibri"/>
          <w:b/>
          <w:sz w:val="22"/>
        </w:rPr>
        <w:t>b,</w:t>
      </w:r>
      <w:r>
        <w:rPr>
          <w:rFonts w:ascii="Calibri" w:hAnsi="Calibri"/>
          <w:b w:val="0"/>
          <w:sz w:val="22"/>
        </w:rPr>
        <w:t xml:space="preserve"> CAF-myeloid core specificity against alternative biological anchors and random same-size anchors. </w:t>
      </w:r>
      <w:r>
        <w:rPr>
          <w:rFonts w:ascii="Calibri" w:hAnsi="Calibri"/>
          <w:b/>
          <w:sz w:val="22"/>
        </w:rPr>
        <w:t>c,</w:t>
      </w:r>
      <w:r>
        <w:rPr>
          <w:rFonts w:ascii="Calibri" w:hAnsi="Calibri"/>
          <w:b w:val="0"/>
          <w:sz w:val="22"/>
        </w:rPr>
        <w:t xml:space="preserve"> Xenium CAF-domain neighborhood enrichment and depletion relative to matched random neighborhoods. </w:t>
      </w:r>
      <w:r>
        <w:rPr>
          <w:rFonts w:ascii="Calibri" w:hAnsi="Calibri"/>
          <w:b/>
          <w:sz w:val="22"/>
        </w:rPr>
        <w:t>d,</w:t>
      </w:r>
      <w:r>
        <w:rPr>
          <w:rFonts w:ascii="Calibri" w:hAnsi="Calibri"/>
          <w:b w:val="0"/>
          <w:sz w:val="22"/>
        </w:rPr>
        <w:t xml:space="preserve"> Xenium cell-state adjacency network. </w:t>
      </w:r>
      <w:r>
        <w:rPr>
          <w:rFonts w:ascii="Calibri" w:hAnsi="Calibri"/>
          <w:b/>
          <w:sz w:val="22"/>
        </w:rPr>
        <w:t>e,</w:t>
      </w:r>
      <w:r>
        <w:rPr>
          <w:rFonts w:ascii="Calibri" w:hAnsi="Calibri"/>
          <w:b w:val="0"/>
          <w:sz w:val="22"/>
        </w:rPr>
        <w:t xml:space="preserve"> Pooled core-to-interface program transition curves. </w:t>
      </w:r>
      <w:r>
        <w:rPr>
          <w:rFonts w:ascii="Calibri" w:hAnsi="Calibri"/>
          <w:b/>
          <w:sz w:val="22"/>
        </w:rPr>
        <w:t>f,</w:t>
      </w:r>
      <w:r>
        <w:rPr>
          <w:rFonts w:ascii="Calibri" w:hAnsi="Calibri"/>
          <w:b w:val="0"/>
          <w:sz w:val="22"/>
        </w:rPr>
        <w:t xml:space="preserve"> CAF-core geometry by tissue context. </w:t>
      </w:r>
      <w:r>
        <w:rPr>
          <w:rFonts w:ascii="Calibri" w:hAnsi="Calibri"/>
          <w:b/>
          <w:sz w:val="22"/>
        </w:rPr>
        <w:t>g,</w:t>
      </w:r>
      <w:r>
        <w:rPr>
          <w:rFonts w:ascii="Calibri" w:hAnsi="Calibri"/>
          <w:b w:val="0"/>
          <w:sz w:val="22"/>
        </w:rPr>
        <w:t xml:space="preserve"> Geometry-biological association lollipop plot, including a negative boundary control. </w:t>
      </w:r>
      <w:r>
        <w:rPr>
          <w:rFonts w:ascii="Calibri" w:hAnsi="Calibri"/>
          <w:b/>
          <w:sz w:val="22"/>
        </w:rPr>
        <w:t>h,</w:t>
      </w:r>
      <w:r>
        <w:rPr>
          <w:rFonts w:ascii="Calibri" w:hAnsi="Calibri"/>
          <w:b w:val="0"/>
          <w:sz w:val="22"/>
        </w:rPr>
        <w:t xml:space="preserve"> Claim boundary for spatial architecture and mechanism-priority language. This module supports a specific, cell-neighborhood-supported, gradient-organized and geometry-modulated CAF-myeloid tissue architecture, but it does not establish causal signaling without perturbation.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PDAC spatial ecology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48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