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9413" w:type="dxa"/>
        <w:tblInd w:w="-6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8125"/>
      </w:tblGrid>
      <w:tr w14:paraId="79330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8" w:type="dxa"/>
          </w:tcPr>
          <w:p w14:paraId="5F5A79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FF0000"/>
                <w:w w:val="95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地声传感器</w:t>
            </w:r>
          </w:p>
        </w:tc>
        <w:tc>
          <w:tcPr>
            <w:tcW w:w="8125" w:type="dxa"/>
          </w:tcPr>
          <w:p w14:paraId="07CB6C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FF0000"/>
                <w:w w:val="95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1. 测量原理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：三轴MEMS加速度计。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2. 动态范围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：≥ 100 dB。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3. 频率响应范围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：0.1 Hz - 500 Hz，需覆盖泥石流次声（10-60Hz）及滑坡微破裂声发射信号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4. 智能算法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：</w:t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需内嵌边缘计算FFT频谱分析能力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，可本地识别异常频段（可配置阈值），识别后即时触发预警信号，响应时间 ≤ 2秒。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5. 功耗与通讯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：工作功耗 ≤ 3mA/12V；支持4G及北斗短报文双通道回传特征数据与报警信息。</w:t>
            </w:r>
          </w:p>
        </w:tc>
      </w:tr>
      <w:tr w14:paraId="20DAD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8" w:type="dxa"/>
          </w:tcPr>
          <w:p w14:paraId="338691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w w:val="95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翻斗式雨量计</w:t>
            </w:r>
          </w:p>
        </w:tc>
        <w:tc>
          <w:tcPr>
            <w:tcW w:w="8125" w:type="dxa"/>
          </w:tcPr>
          <w:p w14:paraId="5AC0242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1.</w:t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承雨口径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：φ200mm+0.6mm。</w:t>
            </w:r>
          </w:p>
          <w:p w14:paraId="4EAAE25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2.</w:t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分辨率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：0.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mm。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测量精度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：≤ ±3%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4. 数据输出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：支持实时累计雨量与小时降雨强度计算上报。</w:t>
            </w:r>
          </w:p>
          <w:p w14:paraId="14012EE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5. 供电与防护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：太阳能供电系统（含电池），阴雨天续航≥15天；防护等级 ≥ IP67。</w:t>
            </w:r>
          </w:p>
        </w:tc>
      </w:tr>
      <w:tr w14:paraId="39CF4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8" w:type="dxa"/>
          </w:tcPr>
          <w:p w14:paraId="5458AF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w w:val="95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超声波水位计</w:t>
            </w:r>
          </w:p>
        </w:tc>
        <w:tc>
          <w:tcPr>
            <w:tcW w:w="8125" w:type="dxa"/>
          </w:tcPr>
          <w:p w14:paraId="0CA14F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w w:val="95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量程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：0.5m - 15m。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测量精度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：±0.5% FS。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盲区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：≤ 0.3m。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4. 功能要求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：具备温度补偿功能，适应野外非接触测量环境，输出水位高程数据。</w:t>
            </w:r>
          </w:p>
        </w:tc>
      </w:tr>
      <w:tr w14:paraId="5E30B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8" w:type="dxa"/>
          </w:tcPr>
          <w:p w14:paraId="273545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w w:val="95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多普勒流量仪</w:t>
            </w:r>
          </w:p>
        </w:tc>
        <w:tc>
          <w:tcPr>
            <w:tcW w:w="8125" w:type="dxa"/>
          </w:tcPr>
          <w:p w14:paraId="6F3FE2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w w:val="95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流速测量范围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：0.02 m/s - 10 m/s。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测量精度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：±1% + 1cm/s。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水位测量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：集成压力式水位计，量程≥10m。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4. 流量计算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支持本地计算瞬时流量与累计流量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，并上传至平台。</w:t>
            </w:r>
          </w:p>
        </w:tc>
      </w:tr>
      <w:tr w14:paraId="0D5E1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8" w:type="dxa"/>
          </w:tcPr>
          <w:p w14:paraId="7BB60F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w w:val="95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视频监控摄像头</w:t>
            </w:r>
          </w:p>
        </w:tc>
        <w:tc>
          <w:tcPr>
            <w:tcW w:w="8125" w:type="dxa"/>
          </w:tcPr>
          <w:p w14:paraId="7D21D8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w w:val="95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成像要求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：不低于400万像素，支持超低照度全彩夜视（最低照度0.0005 Lux），强光抑制，120dB宽动态。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云台控制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：水平360°连续旋转，垂直-15°～90°，支持3D定位与巡航扫描。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智能识别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：需具备或预留AI算法接入能力，支持越界入侵、区域入侵、火点烟雾检测告警。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4. 传输存储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：支持H.265编码，支持断网本地存储（TF卡≥256GB）。</w:t>
            </w:r>
          </w:p>
        </w:tc>
      </w:tr>
      <w:tr w14:paraId="5875C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8" w:type="dxa"/>
          </w:tcPr>
          <w:p w14:paraId="5272D5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无人机巡检系统</w:t>
            </w:r>
          </w:p>
        </w:tc>
        <w:tc>
          <w:tcPr>
            <w:tcW w:w="8125" w:type="dxa"/>
          </w:tcPr>
          <w:p w14:paraId="106AC1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飞行平台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：六旋翼工业级无人机，抗风等级 ≥ 6级，续航时间 ≥ 50分钟，防护等级 ≥ IP45。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载荷能力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：集成全画幅（≥4500万像素）机械快门可见光相机与热成像相机（640×512分辨率）。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建模精度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必须提供正射影像（DOM）与实景三维模型（OSGB格式）处理软件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，平面中误差 ≤ 5cm，高程中误差 ≤ 10cm（基于像控点）。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4. AI识别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：无人机数据处理软件需集成AI变化检测算法，能自动对比多期模型，标注疑似新增裂缝、滑坡形变区域。</w:t>
            </w:r>
          </w:p>
        </w:tc>
      </w:tr>
      <w:tr w14:paraId="7F39B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8" w:type="dxa"/>
          </w:tcPr>
          <w:p w14:paraId="59DA64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卫星遥感数据服务</w:t>
            </w:r>
          </w:p>
        </w:tc>
        <w:tc>
          <w:tcPr>
            <w:tcW w:w="8125" w:type="dxa"/>
          </w:tcPr>
          <w:p w14:paraId="12C5EC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1. 数据类型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：提供覆盖项目区的亚米级（≤1m）光学存档影像及定期更新服务；提供时序InSAR形变监测数据（毫米级精度）。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2. 更新频率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：光学影像年度更新不低于1次；InSAR数据季度更新不低于1次（汛期加密）。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3. 数据产品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：提供经过正射校正、融合处理的GeoTIFF格式影像及形变速率图。</w:t>
            </w:r>
          </w:p>
        </w:tc>
      </w:tr>
      <w:tr w14:paraId="64569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8" w:type="dxa"/>
          </w:tcPr>
          <w:p w14:paraId="217828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数据处理</w:t>
            </w:r>
          </w:p>
        </w:tc>
        <w:tc>
          <w:tcPr>
            <w:tcW w:w="8125" w:type="dxa"/>
          </w:tcPr>
          <w:p w14:paraId="66543046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多协议适配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：支持Modbus TCP/RTU、MQTT、HTTP、NTRIP、FTP等主流物联网与数据接口协议。</w:t>
            </w:r>
          </w:p>
          <w:p w14:paraId="400042F2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异常剔除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：具备自动化异常检测算法，如GNSS单历元解算跳变 &gt; 5mm/min标记可疑，地声瞬时高频噪声过滤。</w:t>
            </w:r>
          </w:p>
          <w:p w14:paraId="737B570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异常剔除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：具备自动化异常检测算法，如GNSS单历元解算跳变 &gt; 5mm/min标记可疑，瞬时高频噪声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数据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过滤。</w:t>
            </w:r>
          </w:p>
          <w:p w14:paraId="12026ABB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影像筛选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：调用AI模型自动剔除模糊度超标、重叠度不足的无人机影像。</w:t>
            </w:r>
          </w:p>
          <w:p w14:paraId="4B95063D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时空基准统一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：所有空间数据强制转换至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CGCS2000坐标系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；时间戳统一为北京时间（UTC+8），精度至秒级。</w:t>
            </w:r>
          </w:p>
          <w:p w14:paraId="1DD3FED7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关联模型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：建立时序数据库与空间数据库的关联引擎，支持按“时间+空间+设备ID”联合检索。</w:t>
            </w:r>
          </w:p>
          <w:p w14:paraId="2A1DA5A3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时序数据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：采用专用时序数据库（如InfluxDB、TimescaleDB），支持每秒百万级数据点写入。</w:t>
            </w:r>
          </w:p>
          <w:p w14:paraId="5C7FA83B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空间数据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：支持PostGIS空间扩展或ArcSDE，管理矢量、栅格及三维模型数据。</w:t>
            </w:r>
          </w:p>
          <w:p w14:paraId="29D4490A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影像文件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：构建MinIO或Ceph对象存储集群，元数据存入关系数据库。</w:t>
            </w:r>
          </w:p>
        </w:tc>
      </w:tr>
      <w:tr w14:paraId="60055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8" w:type="dxa"/>
          </w:tcPr>
          <w:p w14:paraId="22561F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数据安全备份</w:t>
            </w:r>
          </w:p>
        </w:tc>
        <w:tc>
          <w:tcPr>
            <w:tcW w:w="8125" w:type="dxa"/>
          </w:tcPr>
          <w:p w14:paraId="51477E39"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分级存储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：必须实现热（SSD存储近7天高频数据）、温（HDD存储近1年数据）、冷（蓝光/磁带归档历史数据）三级存储策略。</w:t>
            </w:r>
          </w:p>
          <w:p w14:paraId="2A59C419"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冗余备份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：关键时序数据与业务库支持主-备双副本容灾。</w:t>
            </w:r>
          </w:p>
          <w:p w14:paraId="408F83F6"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所有调用记录留存≥180 天，支持追溯与监管。</w:t>
            </w:r>
          </w:p>
        </w:tc>
      </w:tr>
      <w:tr w14:paraId="4879B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8" w:type="dxa"/>
          </w:tcPr>
          <w:p w14:paraId="046A9F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算法模型</w:t>
            </w:r>
          </w:p>
        </w:tc>
        <w:tc>
          <w:tcPr>
            <w:tcW w:w="8125" w:type="dxa"/>
          </w:tcPr>
          <w:p w14:paraId="63C0E29E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投标人需构建基于深度学习与机器学习混合模型的预警分析引擎。</w:t>
            </w:r>
          </w:p>
          <w:p w14:paraId="20ADC314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综合预警准确率≥ 7</w:t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0</w:t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%</w:t>
            </w:r>
          </w:p>
          <w:p w14:paraId="2CEE2368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混合模型架构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：必须采用混合架构方案。</w:t>
            </w:r>
          </w:p>
          <w:p w14:paraId="2E8AA174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输入：不少于72小时历史滑动窗口时序数据。</w:t>
            </w:r>
          </w:p>
          <w:p w14:paraId="56C5C1B9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特征维度：输入特征须包含预测值、静态地质岩性、实时雨强、坡度坡向、裂缝扩展速率等不少于10维特征。</w:t>
            </w:r>
          </w:p>
          <w:p w14:paraId="5BCA67AF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单次全量传感器数据从数据入库到推理输出预警等级的全过程耗时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小于5秒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</w:t>
            </w:r>
          </w:p>
          <w:p w14:paraId="132B1CDF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输出：未来1h、6h、12h、24h的位移速率预测值与降雨诱发风险概率。</w:t>
            </w:r>
          </w:p>
          <w:p w14:paraId="4AFE2970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输出：四级预警等级（无警/蓝/黄/红）。</w:t>
            </w:r>
          </w:p>
          <w:p w14:paraId="5E22EBA6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预警触发逻辑</w:t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应为多级效验机制，</w:t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多设备交叉验证</w:t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。</w:t>
            </w:r>
          </w:p>
          <w:p w14:paraId="5276B0C6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预警提前量平均 ≥ 30 分钟</w:t>
            </w:r>
          </w:p>
          <w:p w14:paraId="46AAEC9A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在线学习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：系统需支持基于新增灾害案例数据（≥3个月积累）进行季度重训练。</w:t>
            </w:r>
          </w:p>
          <w:p w14:paraId="43842AE6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动态调参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：支持通过配置文件或界面调整季节权重因子（如雨季提高降雨权重）。</w:t>
            </w:r>
          </w:p>
          <w:p w14:paraId="08CF2D64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预留地声传感器、土壤水分传感器等其他数据输入接口。</w:t>
            </w:r>
          </w:p>
        </w:tc>
      </w:tr>
      <w:tr w14:paraId="281E9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8" w:type="dxa"/>
          </w:tcPr>
          <w:p w14:paraId="7E24DF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三维孪生可视化指挥平台</w:t>
            </w:r>
          </w:p>
        </w:tc>
        <w:tc>
          <w:tcPr>
            <w:tcW w:w="8125" w:type="dxa"/>
          </w:tcPr>
          <w:p w14:paraId="6AC51D60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right="0" w:firstLine="0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投标人需建设基于WebGL技术的三维数字孪生平台，作为指挥调度核心载体。</w:t>
            </w:r>
          </w:p>
          <w:p w14:paraId="65B4B5BC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right="0" w:firstLine="0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数据融合建模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：基于无人机倾斜摄影与卫星数据，生成项目区高精度三维地形底图（DSM）。</w:t>
            </w:r>
          </w:p>
          <w:p w14:paraId="35BB5E58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right="0" w:firstLine="0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引擎要求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：采用Cesium for Unreal或CesiumJS引擎，支持海量3D Tiles数据加载，大屏端渲染帧率 ≥ 30fps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。</w:t>
            </w:r>
          </w:p>
          <w:p w14:paraId="0EF7CE9E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right="0" w:firstLine="0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三维场景集成监测设备、隐患点、村庄、道路、河道、撤离路线、避灾点、救援物资、救援队伍等数据。</w:t>
            </w:r>
          </w:p>
          <w:p w14:paraId="779C1BF9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right="0" w:firstLine="0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支持漫游、缩放、旋转、定位、图层切换、多视角展示、路径播放。</w:t>
            </w:r>
          </w:p>
          <w:p w14:paraId="0AFC80F0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right="0" w:firstLine="0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风险热力图、预警数量、设备在线率、累计降雨、今日预警统计。</w:t>
            </w:r>
          </w:p>
          <w:p w14:paraId="6CA83370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right="0" w:firstLine="0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点击隐患区自动定位，展示设备分布、实时数据、风险等级、视频画面。</w:t>
            </w:r>
          </w:p>
          <w:p w14:paraId="4A2C05DB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right="0" w:firstLine="0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设备详情：单设备 72 小时曲线、历史数据、报警记录、运维状态。状态颜色映射：设备 在线正常（绿色）、离线（灰色）、阈值告警（黄色闪烁）、红色预警（红色脉冲扩散动画）。</w:t>
            </w:r>
          </w:p>
          <w:p w14:paraId="600C3ABD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right="0" w:firstLine="0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数据联动：位移 — 降雨 — 水位 多曲线同屏对比。</w:t>
            </w:r>
          </w:p>
          <w:p w14:paraId="036E9BB6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right="0" w:firstLine="0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支持动态标注监测设备（GNSS、摄像头等）状态（在线/离线/告警），点击设备弹出实时数据曲线与视频流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。</w:t>
            </w:r>
          </w:p>
          <w:p w14:paraId="03A24AC7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right="0" w:firstLine="0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根据径流模型，支持洪水演化过程。根据水位计数值，在三维地形上动态生成 水面淹没范围（蓝色半透明体），直观展示洪水演进与影响范围。</w:t>
            </w:r>
          </w:p>
          <w:p w14:paraId="7EB12164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right="0" w:firstLine="0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可与预警联动，预警触发时自动调取现场画面，辅助指挥决策与人工核查。</w:t>
            </w:r>
          </w:p>
        </w:tc>
      </w:tr>
      <w:tr w14:paraId="2C63B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8" w:type="dxa"/>
          </w:tcPr>
          <w:p w14:paraId="7A5292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Style w:val="12"/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智能决策支持功能</w:t>
            </w:r>
          </w:p>
        </w:tc>
        <w:tc>
          <w:tcPr>
            <w:tcW w:w="8125" w:type="dxa"/>
          </w:tcPr>
          <w:p w14:paraId="31F1167A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Chars="0" w:right="0" w:rightChars="0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全域风险热力图（红黄蓝分级）。</w:t>
            </w:r>
          </w:p>
          <w:p w14:paraId="5E795E2B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Chars="0" w:right="0" w:rightChars="0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关键指标仪表盘（实时预警数、设备在线率、累计雨量）。</w:t>
            </w:r>
          </w:p>
          <w:p w14:paraId="68C434F0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Chars="0" w:right="0" w:rightChars="0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触发红色预警时，系统需</w:t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自动匹配受影响区域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并生成疏散方案建议。</w:t>
            </w:r>
          </w:p>
        </w:tc>
      </w:tr>
      <w:tr w14:paraId="43421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8" w:type="dxa"/>
          </w:tcPr>
          <w:p w14:paraId="2BC591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预警推送</w:t>
            </w:r>
          </w:p>
        </w:tc>
        <w:tc>
          <w:tcPr>
            <w:tcW w:w="8125" w:type="dxa"/>
          </w:tcPr>
          <w:p w14:paraId="25E90A55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6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0" w:rightChars="0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多级推送机制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：需集成短信网关、语音呼叫（TTS）接口。</w:t>
            </w:r>
          </w:p>
          <w:p w14:paraId="5CCDF3B9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6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0" w:rightChars="0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分级推送策略</w:t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：蓝色预警：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仅推送监测员（短信）。</w:t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黄色预警：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推送监测员+乡镇负责人（短信+语音）。</w:t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红色预警：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全量推送至主管部门、应急队伍及受影响区域公众（广播+短信+语音）。</w:t>
            </w:r>
          </w:p>
          <w:p w14:paraId="19657EA0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6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0" w:rightChars="0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性能要求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：红色预警短信群发吞吐量 ≥ 500条/秒，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语音并发 ≥ 200路。</w:t>
            </w:r>
          </w:p>
          <w:p w14:paraId="2B0E0581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6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0" w:rightChars="0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红色预警启用优先通道，抢占系统资源，确保秒级触达。</w:t>
            </w:r>
          </w:p>
        </w:tc>
      </w:tr>
      <w:tr w14:paraId="70B57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8" w:type="dxa"/>
          </w:tcPr>
          <w:p w14:paraId="5264CD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数据开放共享</w:t>
            </w:r>
          </w:p>
        </w:tc>
        <w:tc>
          <w:tcPr>
            <w:tcW w:w="8125" w:type="dxa"/>
          </w:tcPr>
          <w:p w14:paraId="23DAFC53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0" w:rightChars="0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API接口规范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：提供RESTful API接口，支持GeoJSON、CSV格式输出。</w:t>
            </w:r>
          </w:p>
          <w:p w14:paraId="07795D32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0" w:rightChars="0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安全管控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：支持API Key、IP白名单、请求签名三重鉴权。</w:t>
            </w:r>
          </w:p>
          <w:p w14:paraId="7F9924EC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0" w:rightChars="0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审计日志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：记录所有API调用详情，保存周期 ≥ 180天。</w:t>
            </w:r>
          </w:p>
        </w:tc>
      </w:tr>
    </w:tbl>
    <w:p w14:paraId="13AF461E">
      <w:pPr>
        <w:rPr>
          <w:rFonts w:ascii="宋体" w:hAnsi="宋体" w:eastAsia="宋体" w:cs="Times New Roman"/>
          <w:b/>
          <w:bCs/>
          <w:w w:val="95"/>
          <w:kern w:val="2"/>
          <w:sz w:val="32"/>
          <w:szCs w:val="32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F1ABB7"/>
    <w:multiLevelType w:val="singleLevel"/>
    <w:tmpl w:val="84F1ABB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2EB6EC"/>
    <w:multiLevelType w:val="singleLevel"/>
    <w:tmpl w:val="A32EB6E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9E66653"/>
    <w:multiLevelType w:val="singleLevel"/>
    <w:tmpl w:val="E9E6665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58D3D13"/>
    <w:multiLevelType w:val="singleLevel"/>
    <w:tmpl w:val="058D3D1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2E9226A"/>
    <w:multiLevelType w:val="singleLevel"/>
    <w:tmpl w:val="52E9226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59C3C18A"/>
    <w:multiLevelType w:val="singleLevel"/>
    <w:tmpl w:val="59C3C1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69EA8233"/>
    <w:multiLevelType w:val="singleLevel"/>
    <w:tmpl w:val="69EA823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F0432"/>
    <w:rsid w:val="0FD24AD1"/>
    <w:rsid w:val="18D55226"/>
    <w:rsid w:val="29DB690A"/>
    <w:rsid w:val="3F9A0372"/>
    <w:rsid w:val="43FC54DC"/>
    <w:rsid w:val="5CC91EF3"/>
    <w:rsid w:val="5E8C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qFormat/>
    <w:uiPriority w:val="99"/>
    <w:pPr>
      <w:ind w:firstLine="420" w:firstLineChars="200"/>
    </w:pPr>
    <w:rPr>
      <w:rFonts w:eastAsia="等线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paragraph" w:styleId="13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Cambria" w:hAnsi="Cambria" w:eastAsia="微软雅黑"/>
      <w:color w:val="000000"/>
      <w:kern w:val="20"/>
      <w:lang w:val="zh-CN"/>
    </w:rPr>
  </w:style>
  <w:style w:type="paragraph" w:customStyle="1" w:styleId="14">
    <w:name w:val="B表头样式"/>
    <w:next w:val="1"/>
    <w:qFormat/>
    <w:uiPriority w:val="0"/>
    <w:pPr>
      <w:jc w:val="center"/>
    </w:pPr>
    <w:rPr>
      <w:rFonts w:ascii="Calibri" w:hAnsi="Calibri" w:eastAsia="黑体" w:cs="Times New Roman"/>
      <w:b/>
      <w:kern w:val="2"/>
      <w:sz w:val="21"/>
      <w:szCs w:val="21"/>
      <w:lang w:val="en-US" w:eastAsia="zh-CN" w:bidi="ar-SA"/>
    </w:rPr>
  </w:style>
  <w:style w:type="paragraph" w:customStyle="1" w:styleId="15">
    <w:name w:val="B表格正文"/>
    <w:qFormat/>
    <w:uiPriority w:val="0"/>
    <w:rPr>
      <w:rFonts w:ascii="Calibri" w:hAnsi="Calibri" w:eastAsia="黑体" w:cs="Times New Roman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2507</Words>
  <Characters>2857</Characters>
  <Lines>0</Lines>
  <Paragraphs>0</Paragraphs>
  <TotalTime>73</TotalTime>
  <ScaleCrop>false</ScaleCrop>
  <LinksUpToDate>false</LinksUpToDate>
  <CharactersWithSpaces>2950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2026-04-18T04:06:00Z</dcterms:created>
  <dc:creator>L</dc:creator>
  <cp:lastModifiedBy>青春年华</cp:lastModifiedBy>
  <dcterms:modified xsi:type="dcterms:W3CDTF">2026-04-20T07:11:05Z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eyJoZGlkIjoiNjZmZGViYzFmYWQ3OGIxMTBlNjlhMzkyNTY0MWJhY2IiLCJ1c2VySWQiOiIxODU2NzI5MzkifQ==</vt:lpwstr>
  </property>
  <property fmtid="{D5CDD505-2E9C-101B-9397-08002B2CF9AE}" pid="4" name="ICV">
    <vt:lpwstr>066B783D77AC44CDB91522255B7AFC3A_13</vt:lpwstr>
  </property>
</Properties>
</file>