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w="5000" w:type="pc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606"/>
      </w:tblGrid>
      <w:tr w14:paraId="7B9F71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color="auto" w:fill="FFFFFF"/>
            <w:tcMar>
              <w:top w:w="120" w:type="dxa"/>
              <w:left w:w="120" w:type="dxa"/>
              <w:bottom w:w="120" w:type="dxa"/>
              <w:right w:w="120" w:type="dxa"/>
            </w:tcMar>
            <w:vAlign w:val="center"/>
          </w:tcPr>
          <w:p w14:paraId="58B6AE44">
            <w:pPr>
              <w:keepNext w:val="0"/>
              <w:keepLines w:val="0"/>
              <w:widowControl/>
              <w:suppressLineNumbers w:val="0"/>
              <w:spacing w:line="264" w:lineRule="atLeast"/>
              <w:jc w:val="center"/>
              <w:rPr>
                <w:rFonts w:hint="eastAsia" w:ascii="宋体" w:hAnsi="宋体" w:eastAsia="宋体" w:cs="宋体"/>
                <w:b/>
                <w:bCs/>
                <w:i w:val="0"/>
                <w:iCs w:val="0"/>
                <w:caps w:val="0"/>
                <w:color w:val="006600"/>
                <w:spacing w:val="0"/>
                <w:sz w:val="21"/>
                <w:szCs w:val="21"/>
              </w:rPr>
            </w:pPr>
            <w:r>
              <w:rPr>
                <w:rFonts w:hint="eastAsia" w:ascii="宋体" w:hAnsi="宋体" w:eastAsia="宋体" w:cs="宋体"/>
                <w:b/>
                <w:bCs/>
                <w:i w:val="0"/>
                <w:iCs w:val="0"/>
                <w:caps w:val="0"/>
                <w:color w:val="006600"/>
                <w:spacing w:val="0"/>
                <w:kern w:val="0"/>
                <w:sz w:val="21"/>
                <w:szCs w:val="21"/>
                <w:bdr w:val="none" w:color="auto" w:sz="0" w:space="0"/>
                <w:lang w:val="en-US" w:eastAsia="zh-CN" w:bidi="ar"/>
              </w:rPr>
              <w:t>西北农林科技大学全日制普通本科生学士学位授予实施细则的补充规定 </w:t>
            </w:r>
            <w:r>
              <w:rPr>
                <w:rFonts w:hint="eastAsia" w:ascii="宋体" w:hAnsi="宋体" w:eastAsia="宋体" w:cs="宋体"/>
                <w:b/>
                <w:bCs/>
                <w:i w:val="0"/>
                <w:iCs w:val="0"/>
                <w:caps w:val="0"/>
                <w:color w:val="006600"/>
                <w:spacing w:val="0"/>
                <w:kern w:val="0"/>
                <w:sz w:val="21"/>
                <w:szCs w:val="21"/>
                <w:bdr w:val="none" w:color="auto" w:sz="0" w:space="0"/>
                <w:lang w:val="en-US" w:eastAsia="zh-CN" w:bidi="ar"/>
              </w:rPr>
              <w:drawing>
                <wp:inline distT="0" distB="0" distL="114300" distR="114300">
                  <wp:extent cx="304800" cy="30480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tc>
      </w:tr>
      <w:tr w14:paraId="014291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tcMar>
              <w:top w:w="180" w:type="dxa"/>
              <w:left w:w="432" w:type="dxa"/>
              <w:bottom w:w="180" w:type="dxa"/>
              <w:right w:w="432" w:type="dxa"/>
            </w:tcMar>
            <w:vAlign w:val="center"/>
          </w:tcPr>
          <w:tbl>
            <w:tblPr>
              <w:tblW w:w="4500" w:type="pct"/>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424"/>
              <w:gridCol w:w="3409"/>
              <w:gridCol w:w="81"/>
            </w:tblGrid>
            <w:tr w14:paraId="19A99C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gridAfter w:val="1"/>
                <w:trHeight w:val="13" w:hRule="atLeast"/>
                <w:tblCellSpacing w:w="15" w:type="dxa"/>
                <w:jc w:val="center"/>
              </w:trPr>
              <w:tc>
                <w:tcPr>
                  <w:tcW w:w="2500" w:type="pct"/>
                  <w:shd w:val="clear"/>
                  <w:vAlign w:val="center"/>
                </w:tcPr>
                <w:p w14:paraId="0A04C7D1">
                  <w:pPr>
                    <w:rPr>
                      <w:rFonts w:hint="eastAsia" w:ascii="宋体"/>
                      <w:sz w:val="24"/>
                      <w:szCs w:val="24"/>
                    </w:rPr>
                  </w:pPr>
                </w:p>
              </w:tc>
              <w:tc>
                <w:tcPr>
                  <w:tcW w:w="22500" w:type="pct"/>
                  <w:shd w:val="clear"/>
                  <w:vAlign w:val="center"/>
                </w:tcPr>
                <w:p w14:paraId="097C8470">
                  <w:pPr>
                    <w:rPr>
                      <w:rFonts w:hint="eastAsia" w:ascii="宋体"/>
                      <w:sz w:val="24"/>
                      <w:szCs w:val="24"/>
                    </w:rPr>
                  </w:pPr>
                </w:p>
              </w:tc>
            </w:tr>
            <w:tr w14:paraId="4CEE08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gridAfter w:val="1"/>
                <w:tblCellSpacing w:w="15" w:type="dxa"/>
                <w:jc w:val="center"/>
              </w:trPr>
              <w:tc>
                <w:tcPr>
                  <w:tcW w:w="0" w:type="auto"/>
                  <w:shd w:val="clear"/>
                  <w:tcMar>
                    <w:top w:w="36" w:type="dxa"/>
                    <w:left w:w="0" w:type="dxa"/>
                    <w:bottom w:w="36" w:type="dxa"/>
                    <w:right w:w="0" w:type="dxa"/>
                  </w:tcMar>
                  <w:vAlign w:val="center"/>
                </w:tcPr>
                <w:p w14:paraId="5C554334">
                  <w:pPr>
                    <w:keepNext w:val="0"/>
                    <w:keepLines w:val="0"/>
                    <w:widowControl/>
                    <w:suppressLineNumbers w:val="0"/>
                    <w:spacing w:line="192" w:lineRule="atLeast"/>
                    <w:jc w:val="left"/>
                    <w:rPr>
                      <w:color w:val="000000"/>
                      <w:sz w:val="14"/>
                      <w:szCs w:val="14"/>
                    </w:rPr>
                  </w:pPr>
                  <w:r>
                    <w:rPr>
                      <w:rFonts w:ascii="宋体" w:hAnsi="宋体" w:eastAsia="宋体" w:cs="宋体"/>
                      <w:b/>
                      <w:bCs/>
                      <w:color w:val="000000"/>
                      <w:kern w:val="0"/>
                      <w:sz w:val="14"/>
                      <w:szCs w:val="14"/>
                      <w:bdr w:val="none" w:color="auto" w:sz="0" w:space="0"/>
                      <w:lang w:val="en-US" w:eastAsia="zh-CN" w:bidi="ar"/>
                    </w:rPr>
                    <w:t>信息索引：</w:t>
                  </w:r>
                </w:p>
              </w:tc>
              <w:tc>
                <w:tcPr>
                  <w:tcW w:w="0" w:type="auto"/>
                  <w:shd w:val="clear"/>
                  <w:tcMar>
                    <w:top w:w="36" w:type="dxa"/>
                    <w:left w:w="0" w:type="dxa"/>
                    <w:bottom w:w="36" w:type="dxa"/>
                    <w:right w:w="0" w:type="dxa"/>
                  </w:tcMar>
                  <w:vAlign w:val="center"/>
                </w:tcPr>
                <w:p w14:paraId="05880A1B">
                  <w:pPr>
                    <w:keepNext w:val="0"/>
                    <w:keepLines w:val="0"/>
                    <w:widowControl/>
                    <w:suppressLineNumbers w:val="0"/>
                    <w:spacing w:line="192" w:lineRule="atLeast"/>
                    <w:jc w:val="left"/>
                    <w:rPr>
                      <w:color w:val="000000"/>
                      <w:sz w:val="14"/>
                      <w:szCs w:val="14"/>
                    </w:rPr>
                  </w:pPr>
                  <w:r>
                    <w:rPr>
                      <w:rFonts w:ascii="宋体" w:hAnsi="宋体" w:eastAsia="宋体" w:cs="宋体"/>
                      <w:b/>
                      <w:bCs/>
                      <w:color w:val="000000"/>
                      <w:kern w:val="0"/>
                      <w:sz w:val="14"/>
                      <w:szCs w:val="14"/>
                      <w:bdr w:val="none" w:color="auto" w:sz="0" w:space="0"/>
                      <w:lang w:val="en-US" w:eastAsia="zh-CN" w:bidi="ar"/>
                    </w:rPr>
                    <w:t>公开目录：</w:t>
                  </w:r>
                  <w:r>
                    <w:rPr>
                      <w:rFonts w:ascii="宋体" w:hAnsi="宋体" w:eastAsia="宋体" w:cs="宋体"/>
                      <w:color w:val="000000"/>
                      <w:kern w:val="0"/>
                      <w:sz w:val="14"/>
                      <w:szCs w:val="14"/>
                      <w:bdr w:val="none" w:color="auto" w:sz="0" w:space="0"/>
                      <w:lang w:val="en-US" w:eastAsia="zh-CN" w:bidi="ar"/>
                    </w:rPr>
                    <w:t>学位、学科信息 - 学士学位要求</w:t>
                  </w:r>
                </w:p>
              </w:tc>
            </w:tr>
            <w:tr w14:paraId="7FACA3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gridAfter w:val="1"/>
                <w:tblCellSpacing w:w="15" w:type="dxa"/>
                <w:jc w:val="center"/>
              </w:trPr>
              <w:tc>
                <w:tcPr>
                  <w:tcW w:w="0" w:type="auto"/>
                  <w:shd w:val="clear"/>
                  <w:tcMar>
                    <w:top w:w="36" w:type="dxa"/>
                    <w:left w:w="0" w:type="dxa"/>
                    <w:bottom w:w="36" w:type="dxa"/>
                    <w:right w:w="0" w:type="dxa"/>
                  </w:tcMar>
                  <w:vAlign w:val="center"/>
                </w:tcPr>
                <w:p w14:paraId="27C15864">
                  <w:pPr>
                    <w:keepNext w:val="0"/>
                    <w:keepLines w:val="0"/>
                    <w:widowControl/>
                    <w:suppressLineNumbers w:val="0"/>
                    <w:spacing w:line="192" w:lineRule="atLeast"/>
                    <w:jc w:val="left"/>
                    <w:rPr>
                      <w:color w:val="000000"/>
                      <w:sz w:val="14"/>
                      <w:szCs w:val="14"/>
                    </w:rPr>
                  </w:pPr>
                  <w:r>
                    <w:rPr>
                      <w:rFonts w:ascii="宋体" w:hAnsi="宋体" w:eastAsia="宋体" w:cs="宋体"/>
                      <w:b/>
                      <w:bCs/>
                      <w:color w:val="000000"/>
                      <w:kern w:val="0"/>
                      <w:sz w:val="14"/>
                      <w:szCs w:val="14"/>
                      <w:bdr w:val="none" w:color="auto" w:sz="0" w:space="0"/>
                      <w:lang w:val="en-US" w:eastAsia="zh-CN" w:bidi="ar"/>
                    </w:rPr>
                    <w:t>发布机构：</w:t>
                  </w:r>
                  <w:r>
                    <w:rPr>
                      <w:rFonts w:ascii="宋体" w:hAnsi="宋体" w:eastAsia="宋体" w:cs="宋体"/>
                      <w:color w:val="000000"/>
                      <w:kern w:val="0"/>
                      <w:sz w:val="14"/>
                      <w:szCs w:val="14"/>
                      <w:bdr w:val="none" w:color="auto" w:sz="0" w:space="0"/>
                      <w:lang w:val="en-US" w:eastAsia="zh-CN" w:bidi="ar"/>
                    </w:rPr>
                    <w:t>教务处</w:t>
                  </w:r>
                </w:p>
              </w:tc>
              <w:tc>
                <w:tcPr>
                  <w:tcW w:w="0" w:type="auto"/>
                  <w:shd w:val="clear"/>
                  <w:tcMar>
                    <w:top w:w="36" w:type="dxa"/>
                    <w:left w:w="0" w:type="dxa"/>
                    <w:bottom w:w="36" w:type="dxa"/>
                    <w:right w:w="0" w:type="dxa"/>
                  </w:tcMar>
                  <w:vAlign w:val="center"/>
                </w:tcPr>
                <w:p w14:paraId="49BE73A9">
                  <w:pPr>
                    <w:keepNext w:val="0"/>
                    <w:keepLines w:val="0"/>
                    <w:widowControl/>
                    <w:suppressLineNumbers w:val="0"/>
                    <w:spacing w:line="192" w:lineRule="atLeast"/>
                    <w:jc w:val="left"/>
                    <w:rPr>
                      <w:color w:val="000000"/>
                      <w:sz w:val="14"/>
                      <w:szCs w:val="14"/>
                    </w:rPr>
                  </w:pPr>
                  <w:r>
                    <w:rPr>
                      <w:rFonts w:ascii="宋体" w:hAnsi="宋体" w:eastAsia="宋体" w:cs="宋体"/>
                      <w:b/>
                      <w:bCs/>
                      <w:color w:val="000000"/>
                      <w:kern w:val="0"/>
                      <w:sz w:val="14"/>
                      <w:szCs w:val="14"/>
                      <w:bdr w:val="none" w:color="auto" w:sz="0" w:space="0"/>
                      <w:lang w:val="en-US" w:eastAsia="zh-CN" w:bidi="ar"/>
                    </w:rPr>
                    <w:t>发文字号：</w:t>
                  </w:r>
                  <w:r>
                    <w:rPr>
                      <w:rFonts w:ascii="宋体" w:hAnsi="宋体" w:eastAsia="宋体" w:cs="宋体"/>
                      <w:color w:val="000000"/>
                      <w:kern w:val="0"/>
                      <w:sz w:val="14"/>
                      <w:szCs w:val="14"/>
                      <w:bdr w:val="none" w:color="auto" w:sz="0" w:space="0"/>
                      <w:lang w:val="en-US" w:eastAsia="zh-CN" w:bidi="ar"/>
                    </w:rPr>
                    <w:t>校教发〔2024〕135号</w:t>
                  </w:r>
                </w:p>
              </w:tc>
            </w:tr>
            <w:tr w14:paraId="599CED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3" w:hRule="atLeast"/>
                <w:tblCellSpacing w:w="15" w:type="dxa"/>
                <w:jc w:val="center"/>
              </w:trPr>
              <w:tc>
                <w:tcPr>
                  <w:tcW w:w="0" w:type="auto"/>
                  <w:shd w:val="clear"/>
                  <w:vAlign w:val="center"/>
                </w:tcPr>
                <w:p w14:paraId="2E622780">
                  <w:pPr>
                    <w:rPr>
                      <w:rFonts w:hint="eastAsia" w:ascii="宋体"/>
                      <w:sz w:val="24"/>
                      <w:szCs w:val="24"/>
                    </w:rPr>
                  </w:pPr>
                </w:p>
              </w:tc>
              <w:tc>
                <w:tcPr>
                  <w:tcW w:w="0" w:type="auto"/>
                  <w:shd w:val="clear"/>
                  <w:vAlign w:val="center"/>
                </w:tcPr>
                <w:p w14:paraId="7C378D33">
                  <w:pPr>
                    <w:rPr>
                      <w:rFonts w:hint="eastAsia" w:ascii="宋体"/>
                      <w:sz w:val="24"/>
                      <w:szCs w:val="24"/>
                    </w:rPr>
                  </w:pPr>
                </w:p>
              </w:tc>
              <w:tc>
                <w:tcPr>
                  <w:tcW w:w="0" w:type="auto"/>
                  <w:shd w:val="clear"/>
                  <w:vAlign w:val="center"/>
                </w:tcPr>
                <w:p w14:paraId="0CDDC2E3">
                  <w:pPr>
                    <w:rPr>
                      <w:rFonts w:hint="eastAsia" w:ascii="宋体"/>
                      <w:sz w:val="24"/>
                      <w:szCs w:val="24"/>
                    </w:rPr>
                  </w:pPr>
                </w:p>
              </w:tc>
            </w:tr>
          </w:tbl>
          <w:p w14:paraId="715CD1DD">
            <w:pPr>
              <w:rPr>
                <w:rFonts w:hint="eastAsia" w:ascii="宋体" w:hAnsi="宋体" w:eastAsia="宋体" w:cs="宋体"/>
                <w:i w:val="0"/>
                <w:iCs w:val="0"/>
                <w:caps w:val="0"/>
                <w:color w:val="000000"/>
                <w:spacing w:val="0"/>
                <w:sz w:val="16"/>
                <w:szCs w:val="16"/>
              </w:rPr>
            </w:pPr>
          </w:p>
        </w:tc>
      </w:tr>
      <w:tr w14:paraId="4BB799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color="auto" w:fill="FFFFFF"/>
            <w:tcMar>
              <w:top w:w="120" w:type="dxa"/>
              <w:left w:w="0" w:type="dxa"/>
              <w:bottom w:w="120" w:type="dxa"/>
              <w:right w:w="0" w:type="dxa"/>
            </w:tcMar>
            <w:vAlign w:val="center"/>
          </w:tcPr>
          <w:p w14:paraId="358586D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firstLine="420"/>
              <w:jc w:val="center"/>
            </w:pPr>
            <w:r>
              <w:rPr>
                <w:rFonts w:hint="eastAsia" w:ascii="宋体" w:hAnsi="宋体" w:eastAsia="宋体" w:cs="宋体"/>
                <w:i w:val="0"/>
                <w:iCs w:val="0"/>
                <w:caps w:val="0"/>
                <w:color w:val="333333"/>
                <w:spacing w:val="0"/>
                <w:sz w:val="24"/>
                <w:szCs w:val="24"/>
                <w:bdr w:val="none" w:color="auto" w:sz="0" w:space="0"/>
              </w:rPr>
              <w:t>西北农林科技大学全日制普通本科生学士学位授予实施细则的补充规定</w:t>
            </w:r>
          </w:p>
          <w:p w14:paraId="5CB830E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firstLine="420"/>
            </w:pPr>
          </w:p>
          <w:p w14:paraId="2A6589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firstLine="420"/>
            </w:pPr>
            <w:r>
              <w:rPr>
                <w:rFonts w:hint="eastAsia" w:ascii="宋体" w:hAnsi="宋体" w:eastAsia="宋体" w:cs="宋体"/>
                <w:i w:val="0"/>
                <w:iCs w:val="0"/>
                <w:caps w:val="0"/>
                <w:color w:val="333333"/>
                <w:spacing w:val="0"/>
                <w:sz w:val="16"/>
                <w:szCs w:val="16"/>
                <w:bdr w:val="none" w:color="auto" w:sz="0" w:space="0"/>
              </w:rPr>
              <w:t>为做好学士学位授予工作，《西北农林科技大学全日制普通 本科生学士学位授予实施细则》（校教发〔2022〕1号）第三条第 四款按以下补充规定执行。</w:t>
            </w:r>
          </w:p>
          <w:p w14:paraId="288E8D8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firstLine="420"/>
            </w:pPr>
            <w:r>
              <w:rPr>
                <w:rFonts w:hint="eastAsia" w:ascii="宋体" w:hAnsi="宋体" w:eastAsia="宋体" w:cs="宋体"/>
                <w:i w:val="0"/>
                <w:iCs w:val="0"/>
                <w:caps w:val="0"/>
                <w:color w:val="333333"/>
                <w:spacing w:val="0"/>
                <w:sz w:val="16"/>
                <w:szCs w:val="16"/>
                <w:bdr w:val="none" w:color="auto" w:sz="0" w:space="0"/>
              </w:rPr>
              <w:t>第一条  学生考试作弊行为发生后再无违纪行为，且满足以 下条件之一者，学校按规定程序审核通过后可授予学士学位：</w:t>
            </w:r>
          </w:p>
          <w:p w14:paraId="0C9A58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firstLine="420"/>
            </w:pPr>
            <w:r>
              <w:rPr>
                <w:rFonts w:hint="eastAsia" w:ascii="宋体" w:hAnsi="宋体" w:eastAsia="宋体" w:cs="宋体"/>
                <w:i w:val="0"/>
                <w:iCs w:val="0"/>
                <w:caps w:val="0"/>
                <w:color w:val="333333"/>
                <w:spacing w:val="0"/>
                <w:sz w:val="16"/>
                <w:szCs w:val="16"/>
                <w:bdr w:val="none" w:color="auto" w:sz="0" w:space="0"/>
              </w:rPr>
              <w:t>（一）考试作弊行为发生学期之后至毕业时，所修课程平均 学分成绩达80分及以上，或被录取为研究生，且毕业时提出学士 学位授予申请的；</w:t>
            </w:r>
          </w:p>
          <w:p w14:paraId="015215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firstLine="420"/>
            </w:pPr>
            <w:r>
              <w:rPr>
                <w:rFonts w:hint="eastAsia" w:ascii="宋体" w:hAnsi="宋体" w:eastAsia="宋体" w:cs="宋体"/>
                <w:i w:val="0"/>
                <w:iCs w:val="0"/>
                <w:caps w:val="0"/>
                <w:color w:val="333333"/>
                <w:spacing w:val="0"/>
                <w:sz w:val="16"/>
                <w:szCs w:val="16"/>
                <w:bdr w:val="none" w:color="auto" w:sz="0" w:space="0"/>
              </w:rPr>
              <w:t>（二）获得毕业证书后，在最长修业年限内随下一届毕业生 提出学士学位授予申请的</w:t>
            </w:r>
            <w:bookmarkStart w:id="0" w:name="_GoBack"/>
            <w:bookmarkEnd w:id="0"/>
            <w:r>
              <w:rPr>
                <w:rFonts w:hint="eastAsia" w:ascii="宋体" w:hAnsi="宋体" w:eastAsia="宋体" w:cs="宋体"/>
                <w:i w:val="0"/>
                <w:iCs w:val="0"/>
                <w:caps w:val="0"/>
                <w:color w:val="333333"/>
                <w:spacing w:val="0"/>
                <w:sz w:val="16"/>
                <w:szCs w:val="16"/>
                <w:bdr w:val="none" w:color="auto" w:sz="0" w:space="0"/>
              </w:rPr>
              <w:t>。</w:t>
            </w:r>
          </w:p>
          <w:p w14:paraId="2C6CFD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firstLine="420"/>
            </w:pPr>
            <w:r>
              <w:rPr>
                <w:rFonts w:hint="eastAsia" w:ascii="宋体" w:hAnsi="宋体" w:eastAsia="宋体" w:cs="宋体"/>
                <w:i w:val="0"/>
                <w:iCs w:val="0"/>
                <w:caps w:val="0"/>
                <w:color w:val="333333"/>
                <w:spacing w:val="0"/>
                <w:sz w:val="16"/>
                <w:szCs w:val="16"/>
                <w:bdr w:val="none" w:color="auto" w:sz="0" w:space="0"/>
              </w:rPr>
              <w:t>第二条  本补充规定自2024届毕业生开始执行。</w:t>
            </w:r>
          </w:p>
        </w:tc>
      </w:tr>
    </w:tbl>
    <w:p w14:paraId="7776072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DB3DA3"/>
    <w:rsid w:val="22DB3D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NUL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2025-10-01T04:56:00Z</dcterms:created>
  <dc:creator>WPS_1669693053</dc:creator>
  <cp:lastModifiedBy>WPS_1669693053</cp:lastModifiedBy>
  <dcterms:modified xsi:type="dcterms:W3CDTF">2025-10-01T04:56:18Z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68E15D3BF30B492D82AA1E903DE8EF9E_11</vt:lpwstr>
  </property>
  <property fmtid="{D5CDD505-2E9C-101B-9397-08002B2CF9AE}" pid="4" name="KSOTemplateDocerSaveRecord">
    <vt:lpwstr>eyJoZGlkIjoiNDM5MDk2YjViOWJhYTA1ODlhOWQwMTA0NWRkOTNmNmIiLCJ1c2VySWQiOiIxNDQ1MjAwODAxIn0=</vt:lpwstr>
  </property>
</Properties>
</file>