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6"/>
      </w:tblGrid>
      <w:tr w14:paraId="261DB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12C25">
            <w:pPr>
              <w:keepNext w:val="0"/>
              <w:keepLines w:val="0"/>
              <w:widowControl/>
              <w:suppressLineNumbers w:val="0"/>
              <w:spacing w:line="264" w:lineRule="atLeas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66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66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西北农林科技大学全日制普通本科生学士学位授予实施细则</w:t>
            </w:r>
          </w:p>
        </w:tc>
      </w:tr>
      <w:tr w14:paraId="72B7C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80" w:type="dxa"/>
              <w:left w:w="432" w:type="dxa"/>
              <w:bottom w:w="180" w:type="dxa"/>
              <w:right w:w="432" w:type="dxa"/>
            </w:tcMar>
            <w:vAlign w:val="center"/>
          </w:tcPr>
          <w:tbl>
            <w:tblPr>
              <w:tblW w:w="4500" w:type="pct"/>
              <w:jc w:val="center"/>
              <w:tblCellSpacing w:w="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24"/>
              <w:gridCol w:w="3409"/>
              <w:gridCol w:w="81"/>
            </w:tblGrid>
            <w:tr w14:paraId="6A5A293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gridAfter w:val="1"/>
                <w:trHeight w:val="13" w:hRule="atLeast"/>
                <w:tblCellSpacing w:w="15" w:type="dxa"/>
                <w:jc w:val="center"/>
              </w:trPr>
              <w:tc>
                <w:tcPr>
                  <w:tcW w:w="2500" w:type="pct"/>
                  <w:shd w:val="clear"/>
                  <w:vAlign w:val="center"/>
                </w:tcPr>
                <w:p w14:paraId="46CF81BE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22500" w:type="pct"/>
                  <w:shd w:val="clear"/>
                  <w:vAlign w:val="center"/>
                </w:tcPr>
                <w:p w14:paraId="5B59F251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ACE29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gridAfter w:val="1"/>
                <w:tblCellSpacing w:w="15" w:type="dxa"/>
                <w:jc w:val="center"/>
              </w:trPr>
              <w:tc>
                <w:tcPr>
                  <w:tcW w:w="0" w:type="auto"/>
                  <w:shd w:val="clear"/>
                  <w:tcMar>
                    <w:top w:w="36" w:type="dxa"/>
                    <w:left w:w="0" w:type="dxa"/>
                    <w:bottom w:w="36" w:type="dxa"/>
                    <w:right w:w="0" w:type="dxa"/>
                  </w:tcMar>
                  <w:vAlign w:val="center"/>
                </w:tcPr>
                <w:p w14:paraId="26E5C900">
                  <w:pPr>
                    <w:keepNext w:val="0"/>
                    <w:keepLines w:val="0"/>
                    <w:widowControl/>
                    <w:suppressLineNumbers w:val="0"/>
                    <w:spacing w:line="192" w:lineRule="atLeast"/>
                    <w:jc w:val="left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000000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信息索引：</w:t>
                  </w:r>
                </w:p>
              </w:tc>
              <w:tc>
                <w:tcPr>
                  <w:tcW w:w="0" w:type="auto"/>
                  <w:shd w:val="clear"/>
                  <w:tcMar>
                    <w:top w:w="36" w:type="dxa"/>
                    <w:left w:w="0" w:type="dxa"/>
                    <w:bottom w:w="36" w:type="dxa"/>
                    <w:right w:w="0" w:type="dxa"/>
                  </w:tcMar>
                  <w:vAlign w:val="center"/>
                </w:tcPr>
                <w:p w14:paraId="6BB0EAE6">
                  <w:pPr>
                    <w:keepNext w:val="0"/>
                    <w:keepLines w:val="0"/>
                    <w:widowControl/>
                    <w:suppressLineNumbers w:val="0"/>
                    <w:spacing w:line="192" w:lineRule="atLeast"/>
                    <w:jc w:val="left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000000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公开目录：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学位、学科信息 - 学士学位要求</w:t>
                  </w:r>
                </w:p>
              </w:tc>
            </w:tr>
            <w:tr w14:paraId="2E7418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gridAfter w:val="1"/>
                <w:tblCellSpacing w:w="15" w:type="dxa"/>
                <w:jc w:val="center"/>
              </w:trPr>
              <w:tc>
                <w:tcPr>
                  <w:tcW w:w="0" w:type="auto"/>
                  <w:shd w:val="clear"/>
                  <w:tcMar>
                    <w:top w:w="36" w:type="dxa"/>
                    <w:left w:w="0" w:type="dxa"/>
                    <w:bottom w:w="36" w:type="dxa"/>
                    <w:right w:w="0" w:type="dxa"/>
                  </w:tcMar>
                  <w:vAlign w:val="center"/>
                </w:tcPr>
                <w:p w14:paraId="585B2D8C">
                  <w:pPr>
                    <w:keepNext w:val="0"/>
                    <w:keepLines w:val="0"/>
                    <w:widowControl/>
                    <w:suppressLineNumbers w:val="0"/>
                    <w:spacing w:line="192" w:lineRule="atLeast"/>
                    <w:jc w:val="left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000000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发布机构：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教务处</w:t>
                  </w:r>
                </w:p>
              </w:tc>
              <w:tc>
                <w:tcPr>
                  <w:tcW w:w="0" w:type="auto"/>
                  <w:shd w:val="clear"/>
                  <w:tcMar>
                    <w:top w:w="36" w:type="dxa"/>
                    <w:left w:w="0" w:type="dxa"/>
                    <w:bottom w:w="36" w:type="dxa"/>
                    <w:right w:w="0" w:type="dxa"/>
                  </w:tcMar>
                  <w:vAlign w:val="center"/>
                </w:tcPr>
                <w:p w14:paraId="2CA2FADC">
                  <w:pPr>
                    <w:keepNext w:val="0"/>
                    <w:keepLines w:val="0"/>
                    <w:widowControl/>
                    <w:suppressLineNumbers w:val="0"/>
                    <w:spacing w:line="192" w:lineRule="atLeast"/>
                    <w:jc w:val="left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000000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发文字号：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校教发〔2022〕1 号</w:t>
                  </w:r>
                </w:p>
              </w:tc>
            </w:tr>
            <w:tr w14:paraId="249C503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" w:hRule="atLeast"/>
                <w:tblCellSpacing w:w="15" w:type="dxa"/>
                <w:jc w:val="center"/>
              </w:trPr>
              <w:tc>
                <w:tcPr>
                  <w:tcW w:w="0" w:type="auto"/>
                  <w:shd w:val="clear"/>
                  <w:vAlign w:val="center"/>
                </w:tcPr>
                <w:p w14:paraId="42B77F27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923BAC9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247B70F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</w:tbl>
          <w:p w14:paraId="3F63156B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</w:p>
        </w:tc>
      </w:tr>
      <w:tr w14:paraId="47C79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147930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  <w:jc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bdr w:val="none" w:color="auto" w:sz="0" w:space="0"/>
              </w:rPr>
              <w:t>西北农林科技大学全日制普通本科生学士学位授予实施细则</w:t>
            </w:r>
          </w:p>
          <w:p w14:paraId="2AEB6C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第一条 为了规范学士学位授予工作，保证学士学位授予 的质量，树立优良学风，根据《中华人民共和国学位条例》、《中华人民共和国学位条例暂行实施办法》、国务院学位委员会《学士学位授权与授予管理办法》、《陕西省学士学位授权 与授予管理办法》及《西北农林科技大学本科生学籍管理办 法》相关规定，特制定本实施细则。 </w:t>
            </w:r>
          </w:p>
          <w:p w14:paraId="31420C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第二条 我校普通全日制本科毕业生，同时具备下列条件的， 授予学士学位：</w:t>
            </w:r>
          </w:p>
          <w:p w14:paraId="44FE861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（一）拥护中国共产党的领导，热爱社会主义祖国，坚持四项基本原则，拥护社会主义制度，遵守法律，遵守校纪校规，品行端正； </w:t>
            </w:r>
          </w:p>
          <w:p w14:paraId="655E8F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（二）在学校规定的学习年限内，达到专业培养方案的各项 要求，完成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各教学环节规定的任务，取得了相应的学分，经审查准予毕业，其课程学习和毕业论文（设计）的成绩，表明其确已 较好地掌握了本门学科的基础理论、专门知识和基本技能，并具 有从事本专业实际工作和科学研究的初步能力。 </w:t>
            </w:r>
          </w:p>
          <w:p w14:paraId="7559259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第三条 我校普通全日制本科毕业生存在以下情况之一的， 不授予学士学位。</w:t>
            </w:r>
          </w:p>
          <w:p w14:paraId="32DA725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（一）GPA 在 2.0 以下的；</w:t>
            </w:r>
          </w:p>
          <w:p w14:paraId="76EE6EC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（二）毕业论文（设计）成绩在中等（或 70 分）以下的；</w:t>
            </w:r>
          </w:p>
          <w:p w14:paraId="43B5195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（三）结业后换发毕业证书的；</w:t>
            </w:r>
          </w:p>
          <w:p w14:paraId="7742ABB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（四）存在考试作弊行为的；</w:t>
            </w:r>
          </w:p>
          <w:p w14:paraId="04EDF0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（五）存在剽窃他人学术成果等违背学术诚信行为的；</w:t>
            </w:r>
          </w:p>
          <w:p w14:paraId="0FAD0EA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（六）受到记过及以上处分且毕业时仍在处分期的。 </w:t>
            </w:r>
          </w:p>
          <w:p w14:paraId="4B1ADA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第四条 参加我校与国（境）内外大学联合学士学位培养 项目的学生，在最长学习年限内，在协议院校取得学士学位证 书，且达到我校相关专业学士学位授予要求的，可向学校申请 授予学士学位。 </w:t>
            </w:r>
          </w:p>
          <w:p w14:paraId="38B481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第五条 学生主、辅修专业均达到我校学士学位授予要 求，且辅修专业与主修专业归属不同专业大类的，可向学校申 请授予辅修专业学士学位。辅修专业学士学位在主修专业学士 学位证书中予以标注，不单独发放学位证书。 </w:t>
            </w:r>
          </w:p>
          <w:p w14:paraId="1AE8CF0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第六条 学生参与我校设立的双学士学位复合型人才培养 项目，达到项目培养要求，可向学校申请授予双学士学位。双学士学位在同一学士学位证书中予以标注，不单独发放学位证 书。</w:t>
            </w:r>
          </w:p>
          <w:p w14:paraId="4A22C46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 第七条 学士学位授予程序： </w:t>
            </w:r>
          </w:p>
          <w:p w14:paraId="786166D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（一）各学院毕业与学位资格审查领导小组依照本细则规定， 对申请学士学位的毕业生进行初审，各学位评定分委员会进行审 查并形成决议，将建议授予学士学位名单及相关材料报教务处； </w:t>
            </w:r>
          </w:p>
          <w:p w14:paraId="09D4277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（二）教务处对各学位评定分委员会的审查情况进行审 核、汇总，提出拟授予学士学位名单，提交学校学位评定委员 会； </w:t>
            </w:r>
          </w:p>
          <w:p w14:paraId="4FA2B4D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（三）学校学位评定委员会对教务处审核情况进行审议， 公布授予学士学位学生名单； </w:t>
            </w:r>
          </w:p>
          <w:p w14:paraId="711D6AD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（四）学校或各学院举行学士学位授予仪式，授予学士学位 并颁发学位证书。</w:t>
            </w:r>
          </w:p>
          <w:p w14:paraId="7874D7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 第八条 对于已获得学士学位者，如发现有舞弊作伪等违 反《中华人民共和国学位条例》及本细则规定的情况，学校学 位评定委员会有权撤销其学士学位。 </w:t>
            </w:r>
          </w:p>
          <w:p w14:paraId="389A207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 w:firstLine="420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bdr w:val="none" w:color="auto" w:sz="0" w:space="0"/>
              </w:rPr>
              <w:t>第九条 本实施细则自颁布之日起施行，原《西北农林科技 大学全日制普通本科生学士学位授予实施细则》（校教发 〔2018〕144 号）同时废止。</w:t>
            </w:r>
          </w:p>
        </w:tc>
      </w:tr>
    </w:tbl>
    <w:p w14:paraId="3469F3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C60035"/>
    <w:rsid w:val="42C6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2025-10-01T04:55:00Z</dcterms:created>
  <dc:creator>WPS_1669693053</dc:creator>
  <cp:lastModifiedBy>WPS_1669693053</cp:lastModifiedBy>
  <dcterms:modified xsi:type="dcterms:W3CDTF">2025-10-01T04:55:44Z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5272D2EE8D9241CFA95C924AB0E66AEF_11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