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AF69F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20"/>
        <w:jc w:val="center"/>
        <w:rPr>
          <w:rFonts w:hint="eastAsia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方正小标宋简体" w:hAnsi="方正小标宋简体" w:eastAsia="方正小标宋简体" w:cs="方正小标宋简体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西北工业大学关于加强研究生导师师德师风建设的指导意见</w:t>
      </w:r>
    </w:p>
    <w:p w14:paraId="57FC59B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为进一步贯彻落实《中共中央国务院关于加强和改进新形势下高校思想政治工作的意见》，提升研究生导师的思想政治素质，加强师德师风建设，造就一支有理想信念、有道德情操、有扎实学识、有仁爱之心的研究生导师队伍，结合学校研究生教育现状和教书育人的优良传统，现就加强研究生导师师德师风建设提出如下意见。</w:t>
      </w:r>
    </w:p>
    <w:p w14:paraId="2A357DF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1. 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坚持立德树人，贯彻始终。在研究生学业指导中，导师要因材施教，要以立德树人为根本，以理想信念教育为核心，以社会主义核心价值观为引领，要将培养研究生良好的政治思想素质、道德素质、心理素质以及正确的世界</w:t>
      </w:r>
      <w:bookmarkStart w:id="0" w:name="_GoBack"/>
      <w:bookmarkEnd w:id="0"/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观、人生观、价值观等放在首要位置，并贯穿于研究生培养的全过程。</w:t>
      </w:r>
    </w:p>
    <w:p w14:paraId="6EE74BC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2. 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权责明确，教书育人。在研究生培养的全过程尊重和给予导师充分的学术自主权。逐步扩大导师在录取、奖助金评定、就业推荐的权力。明晰岗位职责，导师要担负起教书育人的责任，发挥好在研究生德育中首要责任人的地位和作用。</w:t>
      </w:r>
    </w:p>
    <w:p w14:paraId="3C99036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3. 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健全制度，加大考核力度。在研究生导师遴选、招生资格审核、招生计划分配、各类评优推荐中，要突出对师德师风的考察力度，严格实行学术道德、师德师风一票否决制。建立研究生导师岗前和在岗培训制度，注重思想政治教育，增强导师业务能力。</w:t>
      </w:r>
    </w:p>
    <w:p w14:paraId="6002954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4. 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构建监督机制，促进导师自身修养提升。发挥学校各级学术组织、行政部门和研究生群体在师德师风建设中的监督和促进作用。在导师遴选、年度考核、评优推优和招生资格审核等重要工作中，均应广泛听取意见，并及时将合理意见和建议反馈给导师本人，帮助其查找不足，改进提升。</w:t>
      </w:r>
    </w:p>
    <w:p w14:paraId="3718DB2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5. 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注重树立师德典型，加大激励力度。通过各级优秀导师评选，发掘和树立一批为人为学为师的先进典型，宣传他们的先进事迹，形成重德养德的良好风尚。在招生计划分配、研究生培养基金等对优秀导师进行政策倾斜和专项支持，构建激励机制。</w:t>
      </w:r>
    </w:p>
    <w:p w14:paraId="1989184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384" w:lineRule="atLeast"/>
        <w:ind w:left="0" w:right="0" w:firstLine="444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6. 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强化学术自律，身正为范。研究生导师要恪守学术规范和遵守学术道德，同时也要加强对研究生学术研究的引领和示范作用。在政治思想、道德品质和学识学风等方面要以身作则、为人师表，带动研究生健康成才。</w:t>
      </w:r>
    </w:p>
    <w:p w14:paraId="7FE2E95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 w:line="22" w:lineRule="atLeast"/>
        <w:ind w:left="0" w:right="0" w:firstLine="42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  <w:lang w:val="en-US"/>
        </w:rPr>
        <w:t>7. </w:t>
      </w:r>
      <w:r>
        <w:rPr>
          <w:rFonts w:hint="default" w:ascii="仿宋_gb2312" w:hAnsi="仿宋_gb2312" w:eastAsia="仿宋_gb2312" w:cs="仿宋_gb2312"/>
          <w:i w:val="0"/>
          <w:iCs w:val="0"/>
          <w:caps w:val="0"/>
          <w:color w:val="333333"/>
          <w:spacing w:val="0"/>
          <w:sz w:val="22"/>
          <w:szCs w:val="22"/>
          <w:shd w:val="clear" w:fill="FFFFFF"/>
        </w:rPr>
        <w:t>严明纪律，师德失范要彻查问责。对于严重违反导师岗位职责、问题反映突出的导师要及时调查。针对具体事件了解情况，严明纪律，问责惩戒。对于确实存在师德失范的导师将给予批评教育、暂停招生直至取消导师资格的处理。对违反法律法规、学术道德、校规校纪的导师，要依法依规及时处理。对于师德问题要做到有诉必查，有查必果，有果必复。</w:t>
      </w:r>
    </w:p>
    <w:p w14:paraId="09FE0A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D1A70"/>
    <w:rsid w:val="3EBD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2025-10-01T03:36:00Z</dcterms:created>
  <dc:creator>WPS_1669693053</dc:creator>
  <cp:lastModifiedBy>WPS_1669693053</cp:lastModifiedBy>
  <dcterms:modified xsi:type="dcterms:W3CDTF">2025-10-01T03:36:28Z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C1ABF132A32F4B0FAE05233893E57B76_11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