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F332F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ind w:left="0" w:right="0" w:firstLine="0"/>
        <w:jc w:val="center"/>
        <w:textAlignment w:val="baseline"/>
        <w:rPr>
          <w:rFonts w:ascii="微软雅黑" w:hAnsi="微软雅黑" w:eastAsia="微软雅黑" w:cs="微软雅黑"/>
          <w:i w:val="0"/>
          <w:iCs w:val="0"/>
          <w:caps w:val="0"/>
          <w:color w:val="000000"/>
          <w:spacing w:val="0"/>
          <w:sz w:val="30"/>
          <w:szCs w:val="30"/>
        </w:rPr>
      </w:pPr>
      <w:r>
        <w:rPr>
          <w:rFonts w:hint="eastAsia" w:ascii="微软雅黑" w:hAnsi="微软雅黑" w:eastAsia="微软雅黑" w:cs="微软雅黑"/>
          <w:i w:val="0"/>
          <w:iCs w:val="0"/>
          <w:caps w:val="0"/>
          <w:color w:val="000000"/>
          <w:spacing w:val="0"/>
          <w:sz w:val="30"/>
          <w:szCs w:val="30"/>
          <w:bdr w:val="none" w:color="auto" w:sz="0" w:space="0"/>
          <w:shd w:val="clear" w:fill="FFFFFF"/>
          <w:vertAlign w:val="baseline"/>
        </w:rPr>
        <w:t>耿某某与饶某名誉权纠纷上诉案——学术批评与名誉权侵权的界限认定 </w:t>
      </w:r>
      <w:r>
        <w:rPr>
          <w:rFonts w:hint="eastAsia" w:ascii="微软雅黑" w:hAnsi="微软雅黑" w:eastAsia="微软雅黑" w:cs="微软雅黑"/>
          <w:b w:val="0"/>
          <w:bCs w:val="0"/>
          <w:i w:val="0"/>
          <w:iCs w:val="0"/>
          <w:caps w:val="0"/>
          <w:color w:val="218FC4"/>
          <w:spacing w:val="0"/>
          <w:sz w:val="24"/>
          <w:szCs w:val="24"/>
          <w:u w:val="none"/>
          <w:bdr w:val="none" w:color="auto" w:sz="0" w:space="0"/>
          <w:shd w:val="clear" w:fill="FFFFFF"/>
        </w:rPr>
        <w:fldChar w:fldCharType="begin"/>
      </w:r>
      <w:r>
        <w:rPr>
          <w:rFonts w:hint="eastAsia" w:ascii="微软雅黑" w:hAnsi="微软雅黑" w:eastAsia="微软雅黑" w:cs="微软雅黑"/>
          <w:b w:val="0"/>
          <w:bCs w:val="0"/>
          <w:i w:val="0"/>
          <w:iCs w:val="0"/>
          <w:caps w:val="0"/>
          <w:color w:val="218FC4"/>
          <w:spacing w:val="0"/>
          <w:sz w:val="24"/>
          <w:szCs w:val="24"/>
          <w:u w:val="none"/>
          <w:bdr w:val="none" w:color="auto" w:sz="0" w:space="0"/>
          <w:shd w:val="clear" w:fill="FFFFFF"/>
        </w:rPr>
        <w:instrText xml:space="preserve"> HYPERLINK "https://www.pkulaw.com/Readpfnl/08df102e7c10f20630c325e55a107d04262ab4906921ff53bdfb.html" \t "https://www.pkulaw.com/pfnl/_blank" </w:instrText>
      </w:r>
      <w:r>
        <w:rPr>
          <w:rFonts w:hint="eastAsia" w:ascii="微软雅黑" w:hAnsi="微软雅黑" w:eastAsia="微软雅黑" w:cs="微软雅黑"/>
          <w:b w:val="0"/>
          <w:bCs w:val="0"/>
          <w:i w:val="0"/>
          <w:iCs w:val="0"/>
          <w:caps w:val="0"/>
          <w:color w:val="218FC4"/>
          <w:spacing w:val="0"/>
          <w:sz w:val="24"/>
          <w:szCs w:val="24"/>
          <w:u w:val="none"/>
          <w:bdr w:val="none" w:color="auto" w:sz="0" w:space="0"/>
          <w:shd w:val="clear" w:fill="FFFFFF"/>
        </w:rPr>
        <w:fldChar w:fldCharType="separate"/>
      </w:r>
      <w:r>
        <w:rPr>
          <w:rFonts w:hint="eastAsia" w:ascii="微软雅黑" w:hAnsi="微软雅黑" w:eastAsia="微软雅黑" w:cs="微软雅黑"/>
          <w:b w:val="0"/>
          <w:bCs w:val="0"/>
          <w:i w:val="0"/>
          <w:iCs w:val="0"/>
          <w:caps w:val="0"/>
          <w:color w:val="218FC4"/>
          <w:spacing w:val="0"/>
          <w:sz w:val="24"/>
          <w:szCs w:val="24"/>
          <w:u w:val="none"/>
          <w:bdr w:val="none" w:color="auto" w:sz="0" w:space="0"/>
          <w:shd w:val="clear" w:fill="FFFFFF"/>
        </w:rPr>
        <w:fldChar w:fldCharType="end"/>
      </w:r>
    </w:p>
    <w:p w14:paraId="22786EBC">
      <w:pPr>
        <w:jc w:val="center"/>
        <w:rPr>
          <w:rFonts w:hint="eastAsia" w:ascii="微软雅黑" w:hAnsi="微软雅黑" w:eastAsia="微软雅黑" w:cs="微软雅黑"/>
          <w:i w:val="0"/>
          <w:iCs w:val="0"/>
          <w:caps w:val="0"/>
          <w:color w:val="333333"/>
          <w:spacing w:val="0"/>
          <w:sz w:val="24"/>
          <w:szCs w:val="24"/>
          <w:u w:val="single"/>
          <w:bdr w:val="none" w:color="auto" w:sz="0" w:space="0"/>
          <w:shd w:val="clear" w:fill="FFFFFF"/>
          <w:vertAlign w:val="baseline"/>
        </w:rPr>
      </w:pPr>
      <w:r>
        <w:rPr>
          <w:rFonts w:ascii="微软雅黑" w:hAnsi="微软雅黑" w:eastAsia="微软雅黑" w:cs="微软雅黑"/>
          <w:i w:val="0"/>
          <w:iCs w:val="0"/>
          <w:caps w:val="0"/>
          <w:color w:val="000000"/>
          <w:spacing w:val="0"/>
          <w:sz w:val="24"/>
          <w:szCs w:val="24"/>
          <w:shd w:val="clear" w:fill="FFFFFF"/>
        </w:rPr>
        <w:t>【法宝引证码】</w:t>
      </w:r>
      <w:r>
        <w:rPr>
          <w:rFonts w:hint="eastAsia" w:ascii="微软雅黑" w:hAnsi="微软雅黑" w:eastAsia="微软雅黑" w:cs="微软雅黑"/>
          <w:i w:val="0"/>
          <w:iCs w:val="0"/>
          <w:caps w:val="0"/>
          <w:color w:val="333333"/>
          <w:spacing w:val="0"/>
          <w:sz w:val="24"/>
          <w:szCs w:val="24"/>
          <w:u w:val="single"/>
          <w:bdr w:val="none" w:color="auto" w:sz="0" w:space="0"/>
          <w:shd w:val="clear" w:fill="FFFFFF"/>
          <w:vertAlign w:val="baseline"/>
        </w:rPr>
        <w:fldChar w:fldCharType="begin"/>
      </w:r>
      <w:r>
        <w:rPr>
          <w:rFonts w:hint="eastAsia" w:ascii="微软雅黑" w:hAnsi="微软雅黑" w:eastAsia="微软雅黑" w:cs="微软雅黑"/>
          <w:i w:val="0"/>
          <w:iCs w:val="0"/>
          <w:caps w:val="0"/>
          <w:color w:val="333333"/>
          <w:spacing w:val="0"/>
          <w:sz w:val="24"/>
          <w:szCs w:val="24"/>
          <w:u w:val="single"/>
          <w:bdr w:val="none" w:color="auto" w:sz="0" w:space="0"/>
          <w:shd w:val="clear" w:fill="FFFFFF"/>
          <w:vertAlign w:val="baseline"/>
        </w:rPr>
        <w:instrText xml:space="preserve"> HYPERLINK "https://www.pkulaw.com/fbm" \t "https://www.pkulaw.com/pfnl/_blank" </w:instrText>
      </w:r>
      <w:r>
        <w:rPr>
          <w:rFonts w:hint="eastAsia" w:ascii="微软雅黑" w:hAnsi="微软雅黑" w:eastAsia="微软雅黑" w:cs="微软雅黑"/>
          <w:i w:val="0"/>
          <w:iCs w:val="0"/>
          <w:caps w:val="0"/>
          <w:color w:val="333333"/>
          <w:spacing w:val="0"/>
          <w:sz w:val="24"/>
          <w:szCs w:val="24"/>
          <w:u w:val="single"/>
          <w:bdr w:val="none" w:color="auto" w:sz="0" w:space="0"/>
          <w:shd w:val="clear" w:fill="FFFFFF"/>
          <w:vertAlign w:val="baseline"/>
        </w:rPr>
        <w:fldChar w:fldCharType="separate"/>
      </w:r>
      <w:r>
        <w:rPr>
          <w:rStyle w:val="7"/>
          <w:rFonts w:hint="eastAsia" w:ascii="微软雅黑" w:hAnsi="微软雅黑" w:eastAsia="微软雅黑" w:cs="微软雅黑"/>
          <w:i w:val="0"/>
          <w:iCs w:val="0"/>
          <w:caps w:val="0"/>
          <w:color w:val="333333"/>
          <w:spacing w:val="0"/>
          <w:sz w:val="24"/>
          <w:szCs w:val="24"/>
          <w:u w:val="single"/>
          <w:bdr w:val="none" w:color="auto" w:sz="0" w:space="0"/>
          <w:shd w:val="clear" w:fill="FFFFFF"/>
          <w:vertAlign w:val="baseline"/>
        </w:rPr>
        <w:t>CLI.C.560296374</w:t>
      </w:r>
      <w:r>
        <w:rPr>
          <w:rFonts w:hint="eastAsia" w:ascii="微软雅黑" w:hAnsi="微软雅黑" w:eastAsia="微软雅黑" w:cs="微软雅黑"/>
          <w:i w:val="0"/>
          <w:iCs w:val="0"/>
          <w:caps w:val="0"/>
          <w:color w:val="333333"/>
          <w:spacing w:val="0"/>
          <w:sz w:val="24"/>
          <w:szCs w:val="24"/>
          <w:u w:val="single"/>
          <w:bdr w:val="none" w:color="auto" w:sz="0" w:space="0"/>
          <w:shd w:val="clear" w:fill="FFFFFF"/>
          <w:vertAlign w:val="baseline"/>
        </w:rPr>
        <w:fldChar w:fldCharType="end"/>
      </w:r>
    </w:p>
    <w:p w14:paraId="4AD8C4E7">
      <w:pPr>
        <w:pStyle w:val="3"/>
        <w:keepNext w:val="0"/>
        <w:keepLines w:val="0"/>
        <w:widowControl/>
        <w:suppressLineNumbers w:val="0"/>
        <w:spacing w:before="0" w:beforeAutospacing="1" w:after="0" w:afterAutospacing="1"/>
        <w:ind w:left="0" w:right="0"/>
        <w:jc w:val="left"/>
      </w:pPr>
      <w:r>
        <w:rPr>
          <w:rStyle w:val="6"/>
          <w:rFonts w:hint="eastAsia"/>
          <w:b/>
          <w:bCs/>
          <w:sz w:val="19"/>
          <w:szCs w:val="19"/>
          <w:lang w:val="en-US" w:eastAsia="zh-CN"/>
        </w:rPr>
        <w:t>案</w:t>
      </w:r>
      <w:r>
        <w:rPr>
          <w:rStyle w:val="6"/>
          <w:b/>
          <w:bCs/>
          <w:sz w:val="19"/>
          <w:szCs w:val="19"/>
        </w:rPr>
        <w:t>由：</w:t>
      </w:r>
      <w:r>
        <w:fldChar w:fldCharType="begin"/>
      </w:r>
      <w:r>
        <w:instrText xml:space="preserve"> HYPERLINK "https://www.pkulaw.com/case/pfnl?Aggs.CategoryIntegration=002&amp;way=textBasic" \t "_Blank" </w:instrText>
      </w:r>
      <w:r>
        <w:fldChar w:fldCharType="separate"/>
      </w:r>
      <w:r>
        <w:rPr>
          <w:rStyle w:val="7"/>
          <w:sz w:val="19"/>
          <w:szCs w:val="19"/>
        </w:rPr>
        <w:t>民事</w:t>
      </w:r>
      <w:r>
        <w:fldChar w:fldCharType="end"/>
      </w:r>
      <w:r>
        <w:rPr>
          <w:sz w:val="19"/>
          <w:szCs w:val="19"/>
        </w:rPr>
        <w:t xml:space="preserve">&gt; </w:t>
      </w:r>
      <w:r>
        <w:fldChar w:fldCharType="begin"/>
      </w:r>
      <w:r>
        <w:instrText xml:space="preserve"> HYPERLINK "https://www.pkulaw.com/case/pfnl?Aggs.CategoryIntegration=002001&amp;way=textBasic" \t "_Blank" </w:instrText>
      </w:r>
      <w:r>
        <w:fldChar w:fldCharType="separate"/>
      </w:r>
      <w:r>
        <w:rPr>
          <w:rStyle w:val="7"/>
          <w:sz w:val="19"/>
          <w:szCs w:val="19"/>
        </w:rPr>
        <w:t>人格权纠纷</w:t>
      </w:r>
      <w:r>
        <w:fldChar w:fldCharType="end"/>
      </w:r>
      <w:r>
        <w:rPr>
          <w:sz w:val="19"/>
          <w:szCs w:val="19"/>
        </w:rPr>
        <w:t xml:space="preserve">&gt; </w:t>
      </w:r>
      <w:r>
        <w:fldChar w:fldCharType="begin"/>
      </w:r>
      <w:r>
        <w:instrText xml:space="preserve"> HYPERLINK "https://www.pkulaw.com/case/pfnl?Aggs.CategoryIntegration=002001001&amp;way=textBasic" \t "_Blank" </w:instrText>
      </w:r>
      <w:r>
        <w:fldChar w:fldCharType="separate"/>
      </w:r>
      <w:r>
        <w:rPr>
          <w:rStyle w:val="7"/>
          <w:sz w:val="19"/>
          <w:szCs w:val="19"/>
        </w:rPr>
        <w:t>人格权纠纷</w:t>
      </w:r>
      <w:r>
        <w:fldChar w:fldCharType="end"/>
      </w:r>
      <w:r>
        <w:rPr>
          <w:sz w:val="19"/>
          <w:szCs w:val="19"/>
        </w:rPr>
        <w:t xml:space="preserve">&gt; </w:t>
      </w:r>
      <w:r>
        <w:fldChar w:fldCharType="begin"/>
      </w:r>
      <w:r>
        <w:instrText xml:space="preserve"> HYPERLINK "https://www.pkulaw.com/case/pfnl?Aggs.CategoryIntegration=002001001006&amp;way=textBasic" \t "_Blank" </w:instrText>
      </w:r>
      <w:r>
        <w:fldChar w:fldCharType="separate"/>
      </w:r>
      <w:r>
        <w:rPr>
          <w:rStyle w:val="7"/>
          <w:sz w:val="19"/>
          <w:szCs w:val="19"/>
        </w:rPr>
        <w:t>名誉权纠纷</w:t>
      </w:r>
      <w:r>
        <w:fldChar w:fldCharType="end"/>
      </w:r>
      <w:r>
        <w:fldChar w:fldCharType="begin"/>
      </w:r>
      <w:r>
        <w:instrText xml:space="preserve"> HYPERLINK "javascript:void(0)" \t "_Blank" </w:instrText>
      </w:r>
      <w:r>
        <w:fldChar w:fldCharType="separate"/>
      </w:r>
      <w:r>
        <w:rPr>
          <w:rStyle w:val="7"/>
          <w:sz w:val="19"/>
          <w:szCs w:val="19"/>
        </w:rPr>
        <w:t>案由释义</w:t>
      </w:r>
      <w:r>
        <w:fldChar w:fldCharType="end"/>
      </w:r>
    </w:p>
    <w:p w14:paraId="1922727F">
      <w:pPr>
        <w:pStyle w:val="3"/>
        <w:keepNext w:val="0"/>
        <w:keepLines w:val="0"/>
        <w:widowControl/>
        <w:suppressLineNumbers w:val="0"/>
        <w:spacing w:before="0" w:beforeAutospacing="1" w:after="0" w:afterAutospacing="1"/>
        <w:ind w:left="0" w:right="0"/>
        <w:jc w:val="left"/>
      </w:pPr>
      <w:r>
        <w:rPr>
          <w:rStyle w:val="6"/>
          <w:b/>
          <w:bCs/>
          <w:sz w:val="19"/>
          <w:szCs w:val="19"/>
        </w:rPr>
        <w:t>案 号：</w:t>
      </w:r>
      <w:r>
        <w:rPr>
          <w:sz w:val="19"/>
          <w:szCs w:val="19"/>
        </w:rPr>
        <w:t>（2022）沪01民终1684号</w:t>
      </w:r>
    </w:p>
    <w:p w14:paraId="15621B27">
      <w:pPr>
        <w:pStyle w:val="3"/>
        <w:keepNext w:val="0"/>
        <w:keepLines w:val="0"/>
        <w:widowControl/>
        <w:suppressLineNumbers w:val="0"/>
        <w:spacing w:before="0" w:beforeAutospacing="1" w:after="0" w:afterAutospacing="1"/>
        <w:ind w:left="0" w:right="0"/>
        <w:jc w:val="left"/>
      </w:pPr>
      <w:r>
        <w:rPr>
          <w:rStyle w:val="6"/>
          <w:b/>
          <w:bCs/>
          <w:sz w:val="19"/>
          <w:szCs w:val="19"/>
        </w:rPr>
        <w:t>文书类型：</w:t>
      </w:r>
      <w:r>
        <w:fldChar w:fldCharType="begin"/>
      </w:r>
      <w:r>
        <w:instrText xml:space="preserve"> HYPERLINK "https://www.pkulaw.com/case/pfnl?Aggs.DocumentAttr=001&amp;way=textBasic" \t "_Blank" </w:instrText>
      </w:r>
      <w:r>
        <w:fldChar w:fldCharType="separate"/>
      </w:r>
      <w:r>
        <w:rPr>
          <w:rStyle w:val="7"/>
          <w:sz w:val="19"/>
          <w:szCs w:val="19"/>
        </w:rPr>
        <w:t>判决书</w:t>
      </w:r>
      <w:r>
        <w:fldChar w:fldCharType="end"/>
      </w:r>
    </w:p>
    <w:p w14:paraId="0D833B49">
      <w:pPr>
        <w:pStyle w:val="3"/>
        <w:keepNext w:val="0"/>
        <w:keepLines w:val="0"/>
        <w:widowControl/>
        <w:suppressLineNumbers w:val="0"/>
        <w:spacing w:before="0" w:beforeAutospacing="1" w:after="0" w:afterAutospacing="1"/>
        <w:ind w:left="0" w:right="0"/>
        <w:jc w:val="left"/>
      </w:pPr>
      <w:r>
        <w:rPr>
          <w:rStyle w:val="6"/>
          <w:b/>
          <w:bCs/>
          <w:sz w:val="19"/>
          <w:szCs w:val="19"/>
        </w:rPr>
        <w:t>公开类型：</w:t>
      </w:r>
      <w:r>
        <w:rPr>
          <w:sz w:val="19"/>
          <w:szCs w:val="19"/>
        </w:rPr>
        <w:t>文书公开</w:t>
      </w:r>
    </w:p>
    <w:p w14:paraId="160255DC">
      <w:pPr>
        <w:pStyle w:val="3"/>
        <w:keepNext w:val="0"/>
        <w:keepLines w:val="0"/>
        <w:widowControl/>
        <w:suppressLineNumbers w:val="0"/>
        <w:spacing w:before="0" w:beforeAutospacing="1" w:after="0" w:afterAutospacing="1"/>
        <w:ind w:left="0" w:right="0"/>
        <w:jc w:val="left"/>
      </w:pPr>
      <w:r>
        <w:rPr>
          <w:rStyle w:val="6"/>
          <w:b/>
          <w:bCs/>
          <w:sz w:val="19"/>
          <w:szCs w:val="19"/>
        </w:rPr>
        <w:t>案件类型：</w:t>
      </w:r>
      <w:r>
        <w:fldChar w:fldCharType="begin"/>
      </w:r>
      <w:r>
        <w:instrText xml:space="preserve"> HYPERLINK "https://www.pkulaw.com/case/pfnl?Aggs.CaseClass=003002&amp;way=textBasic" \t "_Blank" </w:instrText>
      </w:r>
      <w:r>
        <w:fldChar w:fldCharType="separate"/>
      </w:r>
      <w:r>
        <w:rPr>
          <w:rStyle w:val="7"/>
          <w:sz w:val="19"/>
          <w:szCs w:val="19"/>
        </w:rPr>
        <w:t>民事二审</w:t>
      </w:r>
      <w:r>
        <w:fldChar w:fldCharType="end"/>
      </w:r>
    </w:p>
    <w:p w14:paraId="14725247">
      <w:pPr>
        <w:pStyle w:val="3"/>
        <w:keepNext w:val="0"/>
        <w:keepLines w:val="0"/>
        <w:widowControl/>
        <w:suppressLineNumbers w:val="0"/>
        <w:spacing w:before="0" w:beforeAutospacing="1" w:after="0" w:afterAutospacing="1"/>
        <w:ind w:left="0" w:right="0"/>
        <w:jc w:val="left"/>
      </w:pPr>
      <w:r>
        <w:rPr>
          <w:rStyle w:val="6"/>
          <w:b/>
          <w:bCs/>
          <w:sz w:val="19"/>
          <w:szCs w:val="19"/>
        </w:rPr>
        <w:t>审理程序：</w:t>
      </w:r>
      <w:r>
        <w:fldChar w:fldCharType="begin"/>
      </w:r>
      <w:r>
        <w:instrText xml:space="preserve"> HYPERLINK "https://www.pkulaw.com/case/pfnl?Aggs.TrialStep=002&amp;way=textBasic" \t "_Blank" </w:instrText>
      </w:r>
      <w:r>
        <w:fldChar w:fldCharType="separate"/>
      </w:r>
      <w:r>
        <w:rPr>
          <w:rStyle w:val="7"/>
          <w:sz w:val="19"/>
          <w:szCs w:val="19"/>
        </w:rPr>
        <w:t>二审</w:t>
      </w:r>
      <w:r>
        <w:fldChar w:fldCharType="end"/>
      </w:r>
    </w:p>
    <w:p w14:paraId="20F59E8C">
      <w:pPr>
        <w:pStyle w:val="3"/>
        <w:keepNext w:val="0"/>
        <w:keepLines w:val="0"/>
        <w:widowControl/>
        <w:suppressLineNumbers w:val="0"/>
        <w:spacing w:before="0" w:beforeAutospacing="1" w:after="0" w:afterAutospacing="1"/>
        <w:ind w:left="0" w:right="0"/>
        <w:jc w:val="left"/>
      </w:pPr>
      <w:r>
        <w:rPr>
          <w:rStyle w:val="6"/>
          <w:b/>
          <w:bCs/>
          <w:sz w:val="19"/>
          <w:szCs w:val="19"/>
        </w:rPr>
        <w:t>来源：</w:t>
      </w:r>
      <w:r>
        <w:rPr>
          <w:sz w:val="19"/>
          <w:szCs w:val="19"/>
        </w:rPr>
        <w:t>蒋静芬：《学术批评与名誉权侵权的界限认定》，载《人民司法·案例》2025年第4期，第53-57页</w:t>
      </w:r>
    </w:p>
    <w:p w14:paraId="740F26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textAlignment w:val="baseline"/>
        <w:rPr>
          <w:rFonts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sz w:val="24"/>
          <w:szCs w:val="24"/>
          <w:bdr w:val="none" w:color="auto" w:sz="0" w:space="0"/>
          <w:shd w:val="clear" w:fill="FFFFFF"/>
          <w:vertAlign w:val="baseline"/>
        </w:rPr>
        <w:t>耿某某与饶某名誉权纠纷上诉案</w:t>
      </w:r>
      <w:r>
        <w:rPr>
          <w:rFonts w:hint="eastAsia" w:ascii="微软雅黑" w:hAnsi="微软雅黑" w:eastAsia="微软雅黑" w:cs="微软雅黑"/>
          <w:i w:val="0"/>
          <w:iCs w:val="0"/>
          <w:caps w:val="0"/>
          <w:color w:val="333333"/>
          <w:spacing w:val="0"/>
          <w:sz w:val="24"/>
          <w:szCs w:val="24"/>
          <w:bdr w:val="none" w:color="auto" w:sz="0" w:space="0"/>
          <w:shd w:val="clear" w:fill="FFFFFF"/>
          <w:vertAlign w:val="baseline"/>
        </w:rPr>
        <w:br w:type="textWrapping"/>
      </w:r>
      <w:r>
        <w:rPr>
          <w:rFonts w:hint="eastAsia" w:ascii="微软雅黑" w:hAnsi="微软雅黑" w:eastAsia="微软雅黑" w:cs="微软雅黑"/>
          <w:i w:val="0"/>
          <w:iCs w:val="0"/>
          <w:caps w:val="0"/>
          <w:color w:val="333333"/>
          <w:spacing w:val="0"/>
          <w:sz w:val="24"/>
          <w:szCs w:val="24"/>
          <w:bdr w:val="none" w:color="auto" w:sz="0" w:space="0"/>
          <w:shd w:val="clear" w:fill="FFFFFF"/>
          <w:vertAlign w:val="baseline"/>
        </w:rPr>
        <w:t>——学术批评与名誉权侵权的界限认定</w:t>
      </w:r>
    </w:p>
    <w:p w14:paraId="69EF537E">
      <w:pPr>
        <w:keepNext w:val="0"/>
        <w:keepLines w:val="0"/>
        <w:widowControl/>
        <w:suppressLineNumbers w:val="0"/>
        <w:jc w:val="left"/>
      </w:pPr>
    </w:p>
    <w:p w14:paraId="399702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eastAsia"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w:t>
      </w:r>
      <w:bookmarkStart w:id="0" w:name="anchor-0"/>
      <w:bookmarkEnd w:id="0"/>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裁判要旨】判断学术批评是否构成侵害名誉权，需要从主客观两方面考察其是否构成正当评论，如评论言辞不具有实质性的侮辱、诽谤且未指向对方人格，评论者主观上系善意，批评动机旨在增进相互交流和学术争鸣、维护社会公共利益的，则可认定成立正当评论而不构成名誉权侵权。具体案件中，可结合整体判断原则、利益平衡原则等裁判方法对评论的正当性予以综合判断。司法审查的重点在于确定学术批评是否在法律的合理界限内，对学术观点及意见表达本身的对错不作判断。</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  案号　一审：（2020）沪0115民初38990号　二审：（2022）沪01民终1684号</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w:t>
      </w:r>
      <w:bookmarkStart w:id="1" w:name="anchor-1"/>
      <w:bookmarkEnd w:id="1"/>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案情】</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  原告：耿某某。</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  被告：饶某。</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  2019年9月6日，原告等26人署名的文章Wang at el Cell Research 29:787-803（以下简称涉案文章）发表在英文学术刊物杂志《Cell Research》上，原告为通讯作者。该文的内容摘要载明：“我们的发现主要揭示了肠道菌群失调导致的神经炎症在AD进展中的作用，并提出了通过重塑肠道菌群治疗AD的新策略”。涉案文章发表后，有国外相关领域学者发表文章对其质疑。</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2019年11月28日，被告用其注册的微信名为“Y”个人微信在有30名成员的微信群“脑计划专家组”及492名成员的微信群“神经科学严肃讨论偶尔八卦群”中均发布了名称为NSFC的文件，该文件的内容为：“国家自然科学基金会李某某主任：昨天收到贵委2019年11月22日寄首都医科大学函，称请单位调查所谓我发表的论文涉嫌存在不端行为……对于贵委这一不良行为，我先回复，然后提出建议……3）今年中国科学院上海药物研究所的耿某某研究员作为通讯作者的文章，号称其发明的药物GV-971能够通过肠道菌群治疗小鼠的阿尔兹海默症。这篇文章，不造假是不可能的。现实名举报，请贵委做些好事，为中国科学界洗刷耻辱。”</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  2020年7月7日，被告在《Cell Research》刊登了题为“应该更正一位作者忽略引用以前文献”的文章，主要内容为：涉案文章的通讯作者耿某某博士，此前发表过GV971或与之相关的12篇论文均认为GV971是作用于神经的。涉案文章对前述12篇文章一篇都没有引用，并认为GV971在阿尔茨海默症的动物模间接通过肠道微生物和炎症起作用。2020年7月13日，包括原告在内的涉案文章的作者在《Cell Research》发表了简讯予以回应，主要内容为：涉案文章的研究主要着眼于肠道菌群和相关神经性炎症，是一种GV-971治疗AD的全新机制，此前的12篇文章与涉案论文的相关性实在很小，都不足以被引用。</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2020年7月14日，被告在某公众号上发表“评耿某某等有关GV-971的回复”，主要内容包括：在此前的12篇文章中白纸黑字写着GV-971如何作用于脑内神经细胞、神经胶质细胞，现在原告号称作用于肠道菌群，当然从学术上需要解释，需要讨论自己前后结果为什么有差异，是否矛盾。绝大多数药物，治疗作用是通过一个或少量靶标，一般来说靶标多了会导致副作用增加，即使少数几个药物有多靶点，而且都是治疗性靶点，不表明GV-971就是。</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  耿某某诉称，原告主持从事抗阿尔茨海默病和抗肿瘤分子靶向药物研发及生物标志物研究，是该领域的知名科学家。2019年9月6日，原告作为通讯作者在《Cell Research》上发表了涉案文章。2019年11月28日，被告在微信群发布名称为NSFC的文件，称“耿某某研究员作为通讯作者的文章，号称其发明的药物GV971能够通过肠道菌群治疗小鼠的阿尔茨海默症。这篇文章，不造假是不可能的”“为中国科学界洗刷耻辱”。被告作为知名生物学家，具有较大社会影响力，其在没有任何依据的情况下在微信群散布上述不实内容后，立即被多家知名媒体大量转载传播，部分媒体报道阅读量超过百万，被告的侵权行为已经造成原告社会评价降低，应依法承担相应的侵权责任。</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饶某辩称，被告的行为属于学术批评，并非侵犯他人名誉的行为。首先，被告行为对象是“文章”而非“原告人格”。文章造假不直接等同于原告造假，更可能是第一作者造假。其次，被告的行为在性质上属于学术批评，该学术批评行为有合理的依据，且未超过合理的限度。具体而言：第一，原、被告双方一直围绕涉案文章进行学术辩论，在专业刊物上数次相互回应。第二，被告进行学术批评是有合理依据的，并非凭空捏造。涉案文章发布后本身饱受争议，受到国内外学者的质疑。再次，被告的主观目的是进行学术批评并进一步向有关部门揭露</w:t>
      </w:r>
      <w:r>
        <w:rPr>
          <w:rFonts w:hint="eastAsia" w:ascii="微软雅黑" w:hAnsi="微软雅黑" w:eastAsia="微软雅黑" w:cs="微软雅黑"/>
          <w:i w:val="0"/>
          <w:iCs w:val="0"/>
          <w:caps w:val="0"/>
          <w:color w:val="FFFFFF"/>
          <w:spacing w:val="0"/>
          <w:kern w:val="0"/>
          <w:sz w:val="24"/>
          <w:szCs w:val="24"/>
          <w:bdr w:val="none" w:color="auto" w:sz="0" w:space="0"/>
          <w:shd w:val="clear" w:fill="F72E2E"/>
          <w:vertAlign w:val="baseline"/>
          <w:lang w:val="en-US" w:eastAsia="zh-CN" w:bidi="ar"/>
        </w:rPr>
        <w:t>学术不端</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，并非恶意侮辱诽谤原告。原告名誉亦未实际受到损害。</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w:t>
      </w:r>
      <w:bookmarkStart w:id="2" w:name="anchor-2"/>
      <w:bookmarkEnd w:id="2"/>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审判】</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一审法院经审理认为，双方争议的主要焦点在于，一、被告在微信群中针对原告论文发布言论性质上是侵害他人名誉权的行为还是属于学术批评行为；二、被告的上述行为是否造成了原告名誉的损害，即原告品德、声望、才能、信用等社会评价遭受降低。</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就争议焦点一，首先对于阿尔茨海默症治疗的研究是一个不断进展的过程，需要医学界作出共同的努力，因此，从医学发展的角度应当允许正当的学术争议和批评，被告作为行业专家有权对原告研究成果作出评价。被告认为其是基于自己学识水平对原告论文研究成果的机理作出的否定性评价，结论正确或错误都存在可能，其评价并非出于恶意贬低原告名誉。法院认为其观点具有合理性。其一，被告的行为并未超出学术评论的合理界限。从原、被告之后在专业刊物上进行的相互回应的事实看，这种观点的交锋应属于学术讨论范畴，言辞是否偏激或不当不影响其学术争议的性质。其二，被告不存在损害原告名誉的主观故意。被告将涉案文件发在微信群是为了督促同行以及自然基金委员会对其认为有造假嫌疑的论文进行监督和调查，其主观目的具有一定的公益性，与基于私怨对原告进行侮辱诽谤有本质的区别。其三，从促进学术争鸣以及净化学术风气角度而言，司法应为学术批评设定较为宽松的环境，学术上的争议可以通过当事人之间的辩论、公布原始数据、进行重复试验等方式予以澄清，鼓励真理越辩越明。本案原、被告之间的争议，从本质上还是对科研结论科学性、正确性的争议，激烈过分的言辞虽不宜纵容庇护，但也不能苛求而科以侵权责任。</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关于争议焦点二，民事主体名誉受损客观上应有其品德、声望、才能、信用等社会评价遭受降低的后果。首先，从本案查明事实和原告举证情况看，被告行为造成的后果，存在事后国内外相关学者或文章发表的负面观点，即对该原告论文所涉研究成果表示怀疑或不信，但没有针对原告个人道德和行为品质作出负面评价，也没有证据表明其声望、信用等社会评价因此降低，故难以认定被告行为对原告名誉造成了损害。其次，从原、被告双方事后随即在相关学术期刊和载体上发表学术争议看，已表明双方关于是否造假的争议，实质上是医学研究上的学术争议，而非原告论文是否存在研究手段故意造假的争议。因此，客观上在行业和关注该问题的社会公众中不会造成对该问题实质性的误判。</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  基于上述两点，被告针对原告存在过激言辞，但没有损害原告名誉的主观故意，也未实际造成原告名誉受损后果，原告诉请被告构成名誉侵权难以支持。最终，法院判决驳回原告耿某某的诉讼请求。</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  一审宣判后，耿某某提起上诉。</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  二审法院经审理判决驳回上诉，维持原判。</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w:t>
      </w:r>
      <w:bookmarkStart w:id="3" w:name="anchor-3"/>
      <w:bookmarkEnd w:id="3"/>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评析】</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学术批评并非法律明文规定的名誉权侵权的免责事由，但基于学术批评的公共利益属性，通说认为对学术批评应当持宽容的态度。关于如何界定学术批评与名誉权侵权的界限，当前司法实践并未形成统一的裁判规则，在我国审判实践中需要进一步检视。</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  一、学术批评的内涵及司法规制</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  （一）学术批评的内涵</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学术批评意指针对学术问题进行理性评判，提出不同的意见和观点，代表着学术批评者的主观学术见解或者学术立场，系学术批评者的意见表达。就学术批评的行为和内容而言，其是批评者对自身学术观点和见解的意见表达。就学术批评的价值和作用而言，其是形成学术争鸣、促进学术进步的有效途径。民法典对名誉权侵权的免责事由进行了概括式的列举，包括行为人发表的文学、艺术作品不以特定人为描述对象以及为公共利益实施新闻报道、舆论监督等行为，但并未对学术批评是否或者何种情形下构成名誉权侵权进行界定。</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  （二）学术批评侵权性判断的现实检视</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当前司法实践中，对于认定学术批评是否构成名誉权侵权，法院普遍如何处理？为此，笔者通过北大法宝、中国裁判文书网进行检索，搜索到的学术批评类名誉权纠纷案仅15件，笔者选取几个比较典型的判例并作归纳如下：</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在“纳西古乐”名誉权纠纷案中，法院依据评论中使用的言辞具有侮辱意味而认定构成名誉权侵权。在沈某、张某诉杨某名誉权纠纷案中，法院强调基于公共利益考量，对于不同的意见或尖锐批评，需要有一定的容忍度。当学术批评与名誉权两种法益发生冲突，学术批评的公共利益要求被批评者作出让渡。在方某与崔某互诉名誉权侵权案中，法院认为崔某、方某二人的争议虽由“转基因”这一公共议题引发，但并不意味着由公共议题引发的恶意人身攻击可以受到言论自由的保护。公众人物更应提升自身的言行标准，避免网络中的不当言论造成对他人名誉权的损害。</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综观前述司法案例，在认定学术批评是否构成名誉权类案件中，有的法院通过评论中使用的言辞是否有侮辱意味来判断是否构成名誉权侵权，有的法院强调基于公共利益考量，被批评者的名誉权应当对学术批评作出让渡，有的法院则主张批评者作为公众人物，应当提升自身言行标准以避免侵犯他人名誉权。可见，当前司法实践对学术批评的合理界限未作明确界分，对学术批评何种情形下构成名誉权侵权尚未形成统一的认识。</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  二、学术批评与名誉权侵权的界限</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当学术批评与名誉权发生冲突时，如何确定学术批评属于正当评论还是侵权行为？笔者认为，判断某一学术批评是否构成正当评论，可从主客观两方面进行判断，主观方面即批评者是否有侮辱他人人格、侵犯他人名誉权的主观故意，客观方面即从批评者言论的指向、言论的表达判断是否存在侵权行为。具体判断时，应当适用整体判断原则和利益平衡原则进行系统、综合地评价。</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  （一）正当评论的判断标准</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  1.从主观过错评判目的正当性</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由于认识问题的角度、掌握文献的情况、所处的时空背景、思考问题的方式等因素的差异，学者对于同一问题持有不同的观点，论述中有一些偏于主观的倾向是难以避免的。为避免因将不正确的意见等同于侵权，从而导致过度限制人们发表意见的自由，进而产生“寒蝉效应”，英美法系将“真实恶意”规则作为判断名誉权侵权的标准之一，认为为公共利益所发表的意见，只要有一定的事实基础且态度诚实，则不构成侵犯名誉权。我们在判断学术批评与名誉权侵权的界限时，可借鉴“真实恶意”规则，侵权与否关键看批评者主观的心理状态，原则上批评者只要不是出于私心、贬低人格尊严的恶意诋毁，而是善意规劝、建议批评，则并不构成侵犯名誉权。如果发表评论是出于善意，批评的动机旨在增进相互交流和学术争鸣，促进学术发展，维护社会公共利益，评论有一定的客观依据或推理论证，则即使评论用语比较激烈而尖刻，也应采取相对宽容的态度，慎重认定侵权。反之，如评论存在恶意借机侮辱、诽谤的情形，故意断章取义，恶意得出不公正结论或基于明显的利益关系进行不当推测的情况，则应当认定批评者存在主观过错，应当承担侵犯名誉权的责任。</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  2.从言辞尺度评判行为正当性</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如前所述，学术批评是评论者对自身学术见解、学术立场的意见表达。带有一定主观性和个人倾向是意见表达的天然属性，意见、评论不可避免地要表现出评论者的褒贬态度，法律并不禁止人们对事物作出正面或负面的评价。真理越辩越明，只有有鲜明的主张和观点，敢于争鸣，意见、评论才能起到学术监督、针砭弊病的作用，从而推动科技进步和社会发展。因此，判断学术批评是否逾越合理界限、是否构成名誉权侵权，并不以用词是否温和、中性为标准，而应以言辞是否实质性的侮辱、诽谤且指向他人人格。批评者应当以实事求是为原则，在学术研究的范畴内，对被批评者的学术观点、学术成果提出商榷和质疑，明确自己的主张、观点或立场，并针对自己的观点形成清晰且符合逻辑的论证过程。反之，若批评者随性地作出论断而没有论据支撑，言辞具有侮辱性且指向他人人格，则应当认定为言辞超出了合理界限。</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具体到本案，首先，从饶某言论的内容看，其言语用词所指称的是“这篇文章”，而该篇文章的通讯作者系耿某某，还包括其他作者，因此不能简单认定饶某言论所指向的对象就是耿某某，其指向的是涉案论文，主要还是否定该涉案论文的结论。饶某的言辞虽然尖刻、激进，但客观上整体尚未能上升到对耿某某人格的否定的程度。其次，从饶某言论的主观目的看，尚属于学术监督的范畴，并无对耿某某人格尊严贬损的故意，现有证据也不足以认定饶某主观上具有损害耿某某名誉权的恶意与目的。</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  （二）正当性评价的司法裁判方法</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  1.整体判断原则</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批评方式可以是多种多样的，或是委婉迂回的，或是直截了当的，或是温和中性的，或是激烈尖锐的。司法实践中，如何区分是学术批评还是通过学术批评进行侮辱侵害，不能仅凭某些特定用词的词义作判断，对于特定用词的评价，应当适用整体判断原则进行综合评价。首先，对特定的贬义用词不能断章取义、以偏概全，仅就个别词汇进行孤立判断，而应整体判断，结合评论的上下文及言论背景予以综合考量。正如梁治平先生所言，要判定特定的言辞是否构成侮辱和诽谤，只审查言辞本身是不够的，还必须考察言辞在具体语境中的关联性。其次，要看评论的对象是学术争论的问题本身还是针对学者的人格、道德评价。若是针对学术争论焦点问题所作出的，应认定为在学术评论的范畴内正常讨论，尽管有一些过激的言论，也不应认定为侵犯他人名誉权。</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  2.利益平衡原则</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正当评论是价值判断型的弹性词语，这样的概念很难以构成要件式的固定的标准予以衡量，在具体适用时仍然需要裁判者通过利益平衡作出综合评价。利益平衡，是在法律存在一定漏洞或过于原则、滞后，而又不能拒绝裁判的情况下，由法官在立法所给定的范围内，依照特定的方法进行价值衡量、阐释或适用法律，进而得出对案件中利益冲突的解决方案的一种方法。对于言论自由与名誉权发生冲突时如何平衡两者的利益，我国理论界主要有以下三种不同的观点：第一种观点认为，言论自由与名誉权发生冲突时，言论自由应受到绝对优先保护；第二种观点认为，对于我们这个正在改革、追求更为开放的社会来说，我们应当更多地或优先保护言论自由；第三种观点认为，如事先规定某种价值位阶，可能因价值位阶设定本身不科学、过于超前而不被公众接受，也可能因过于僵化而难以灵活解决实际问题。应采取个案中进行利益衡量的方法，以更灵活地求得个案的公正解决。笔者更赞同第三种观点，司法在厘定学术批评与名誉权侵权的界限时应根据个案具体情况分析平衡各方利益，仔细考察特定案件中言论的性质、目的以及名誉权主张的内容等相关要素，综合公众人物理论、公共利益保护等考量因素进行价值衡量，努力在二者中寻找平衡点。</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结合本案中双方当事人的学者背景、学术影响及涉案言论本身目的，权威机构已经对涉案论文进行了澄清等因素，饶某的学术批评的言论尚不足以认定具有侮辱或者诽谤耿某某的主观故意，尚未超出学术批评的合理限度。</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  三、司法对学术观点及意见表达本身的对错不作判断</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对于学术批评是否构成侵害他人的名誉权，司法审查的重点在于确定学术批评是否在法律的合理界限之内，是否具有贬损他人人格的主观故意。学术争议、科学观点本身的真伪是非问题，是难以也不宜作为司法裁判的对象的。具体理由如下：</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  （一）司法不具备评判学术观点真伪对错的能力</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对科学观点、学术意见的正确性、真理性与否的判断，具有高度的专业性，法官不可能具备判断所有领域的学术争议意见真伪是非的能力，尤其是自然科学领域的研究，超出了一般法官的知识结构和学术能力范围，超出了司法所解决问题的范围和能力。司法能解决的仅是当事人诉至法院要求审理的名誉权纠纷，法官通过对评论本身的言辞表达、批评者有无主观过错等角度进行分析，判断具体言论是否属于侮辱、诽谤，从法律层面对学术批评是否构成名誉权侵权作出判断。如司法强行介入到自然科学领域，径行判断科学论战、学术意见的孰是孰非，属于对科研自由的不当干涉，也属于司法职能的僭越。面对学术争论、科学争鸣中意见分歧，法院的基本定位应该是只就具体言论的合法性进行判断，而将科学、学术争论的是非判断问题留给科学界、学术界去解决。</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  （二）科学探索本身亦能容错</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由于学术批评系学术批评者自身观点的表达，因知识结构、研究方式等的局限，批评中产生某些不够准确的看法是难以避免的。科学探索本身亦允许容错，纵观人类历史，对科学问题的争议从来没有停止过，正是这些争议、质疑督促人们在争论中探求真理、反思错误、修正认识。对科学、学术问题的自由讨论，是言论自由及科学研究自由的重要内容，正当的学术批评是科学进步的动力，促使人们不断提升探索客观世界、把握真理规律的能力。法院对于尚无定论的科学争论、学术争鸣，不应进行判断、干预，而应保持谦抑、尊重的态度，维护学术争议的自由氛围。故学术观点及意见表达的对错、真伪无需由法院进行评判，最终将通过实践来检验。</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  （三）评论观点即便有错亦不损害被评论者的名誉</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名誉权侵权适用一般侵权的归责原则，即行为人实施了侵犯他人名誉权的行为，行为人主观上具有过错，造成他人名誉权受损的结果，侵权行为与损害结果间存在因果关系。判断学术批评是否构成名誉权侵权中的损害结果要件标准，即为是否造成被批评者社会评价降低。社会评价对个体而言是多方面的，包括才能、品德、声望、信誉、信用等，社会评价的多方面性，决定了针对不同的群体、不同的行为方式，社会评价侧重点不一。就学术批评所对应的社会评价而言，评判的内容不应超出学术领域的范畴，应主要体现在被批评者学术地位、学术影响力以及学者的认同感等方面。学术争鸣围绕的是对学术观点、科研成果是非对错的评判，其影响也主要在具有相应学术水平和科研能力相关的研究群体内，客观上在行业和关注该问题的社会公众中不会造成对该问题的实质性误判。</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  本案中，涉案论文的学术结论的真伪、学术价值本身与判断饶某的言论是否构成侵害耿某某名誉权的侵权责任并无法律上的直接关联性。</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  蒋静芬</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  上海市浦东新区人民法院</w:t>
      </w:r>
    </w:p>
    <w:p w14:paraId="2C3D45BE">
      <w:pPr>
        <w:jc w:val="both"/>
        <w:rPr>
          <w:rFonts w:hint="eastAsia" w:ascii="微软雅黑" w:hAnsi="微软雅黑" w:eastAsia="微软雅黑" w:cs="微软雅黑"/>
          <w:i w:val="0"/>
          <w:iCs w:val="0"/>
          <w:caps w:val="0"/>
          <w:color w:val="333333"/>
          <w:spacing w:val="0"/>
          <w:sz w:val="24"/>
          <w:szCs w:val="24"/>
          <w:u w:val="single"/>
          <w:bdr w:val="none" w:color="auto" w:sz="0" w:space="0"/>
          <w:shd w:val="clear" w:fill="FFFFFF"/>
          <w:vertAlign w:val="baseline"/>
        </w:rPr>
      </w:pPr>
      <w:bookmarkStart w:id="4" w:name="_GoBack"/>
      <w:bookmarkEnd w:id="4"/>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3BE61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2025-09-19T12:55:53Z</dcterms:created>
  <dc:creator>Q</dc:creator>
  <cp:lastModifiedBy>覃丽金</cp:lastModifiedBy>
  <dcterms:modified xsi:type="dcterms:W3CDTF">2025-09-19T12:57:37Z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eyJoZGlkIjoiOTA5OWQ2ZTZmOWI5OTA3MjZiMjU1ZGIwY2FjZmRiOWQiLCJ1c2VySWQiOiIxNzIwNjI1NDUyIn0=</vt:lpwstr>
  </property>
  <property fmtid="{D5CDD505-2E9C-101B-9397-08002B2CF9AE}" pid="4" name="ICV">
    <vt:lpwstr>1180468BBE4346E2AFF560E7644FB476_12</vt:lpwstr>
  </property>
</Properties>
</file>