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caption holdout</w:t>
      </w:r>
    </w:p>
    <w:p>
      <w:r>
        <w:t>Intro paragraph before any figure.</w:t>
      </w:r>
    </w:p>
    <w:p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Flow overview</w:t>
      </w:r>
    </w:p>
    <w:p>
      <w:r>
        <w:t>Body paragraph between figures.</w:t>
      </w:r>
    </w:p>
    <w:p>
      <w:r>
        <w:drawing>
          <wp:inline xmlns:a="http://schemas.openxmlformats.org/drawingml/2006/main" xmlns:pic="http://schemas.openxmlformats.org/drawingml/2006/picture">
            <wp:extent cx="1371600" cy="1371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2、架构示意</w:t>
      </w:r>
    </w:p>
    <w:p>
      <w:r>
        <w:drawing>
          <wp:inline xmlns:a="http://schemas.openxmlformats.org/drawingml/2006/main" xmlns:pic="http://schemas.openxmlformats.org/drawingml/2006/picture">
            <wp:extent cx="1371600" cy="1371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Table 1. Metrics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A1</w:t>
            </w:r>
          </w:p>
        </w:tc>
        <w:tc>
          <w:tcPr>
            <w:tcW w:type="dxa" w:w="4320"/>
          </w:tcPr>
          <w:p>
            <w:r>
              <w:t>B1</w:t>
            </w:r>
          </w:p>
        </w:tc>
      </w:tr>
      <w:tr>
        <w:tc>
          <w:tcPr>
            <w:tcW w:type="dxa" w:w="4320"/>
          </w:tcPr>
          <w:p>
            <w:r>
              <w:t>A2</w:t>
            </w:r>
          </w:p>
        </w:tc>
        <w:tc>
          <w:tcPr>
            <w:tcW w:type="dxa" w:w="4320"/>
          </w:tcPr>
          <w:p>
            <w:r>
              <w:t>B2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371600" cy="1371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Closing paragraph with no caption.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