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6D4D9" w14:textId="0973070F" w:rsidR="00644BDE" w:rsidRDefault="008F2A02" w:rsidP="00E36002">
      <w:pPr>
        <w:jc w:val="center"/>
        <w:rPr>
          <w:lang w:val="ru-RU"/>
        </w:rPr>
      </w:pPr>
      <w:r>
        <w:rPr>
          <w:lang w:val="ru-RU"/>
        </w:rPr>
        <w:t>Описание</w:t>
      </w:r>
    </w:p>
    <w:p w14:paraId="2E3F2FAB" w14:textId="2DA08B01" w:rsidR="008F2A02" w:rsidRPr="00E36002" w:rsidRDefault="008F2A02" w:rsidP="008F2A02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36002">
        <w:rPr>
          <w:b/>
          <w:bCs/>
          <w:color w:val="000000"/>
        </w:rPr>
        <w:t>Страница «Продажи и прибыль» – основные KPI, динамика и топ-товары;</w:t>
      </w:r>
    </w:p>
    <w:p w14:paraId="3BC8B75D" w14:textId="314E576B" w:rsidR="008F2A02" w:rsidRDefault="008F2A02" w:rsidP="008F2A02">
      <w:pPr>
        <w:pStyle w:val="pdq2pgselectionanchorcontainer"/>
      </w:pPr>
      <w:r>
        <w:t xml:space="preserve">Страница </w:t>
      </w:r>
      <w:r>
        <w:rPr>
          <w:rStyle w:val="a4"/>
        </w:rPr>
        <w:t>«Продажи и прибыль»</w:t>
      </w:r>
      <w:r>
        <w:t xml:space="preserve"> предназначена для анализа финансовых результатов компании. На ней представлены ключевые показатели: общая выручка, себестоимость, прибыль</w:t>
      </w:r>
      <w:r>
        <w:rPr>
          <w:lang w:val="ru-RU"/>
        </w:rPr>
        <w:t xml:space="preserve"> и</w:t>
      </w:r>
      <w:r>
        <w:t xml:space="preserve"> маржинальность</w:t>
      </w:r>
      <w:r>
        <w:rPr>
          <w:lang w:val="ru-RU"/>
        </w:rPr>
        <w:t>.</w:t>
      </w:r>
      <w:r>
        <w:t xml:space="preserve"> Линейный график показывает помесячную динамику продаж, а столбчатая диаграмма </w:t>
      </w:r>
      <w:r>
        <w:rPr>
          <w:lang w:val="ru-RU"/>
        </w:rPr>
        <w:t>–</w:t>
      </w:r>
      <w:r>
        <w:t xml:space="preserve"> распределение выручки по товарным категориям, где лидирует </w:t>
      </w:r>
      <w:r>
        <w:rPr>
          <w:rStyle w:val="a4"/>
        </w:rPr>
        <w:t>Electronics</w:t>
      </w:r>
      <w:r>
        <w:t>. Срезы по статусу заказа и категории позволяют детально анализировать показатели и оценивать влияние отмен, возвратов и отдельных групп товаров на продажи и прибыль.</w:t>
      </w:r>
    </w:p>
    <w:p w14:paraId="51480FE9" w14:textId="77777777" w:rsidR="00E36002" w:rsidRPr="00E36002" w:rsidRDefault="00E36002" w:rsidP="00E36002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36002">
        <w:rPr>
          <w:b/>
          <w:bCs/>
          <w:color w:val="000000"/>
        </w:rPr>
        <w:t>Страница «Логистика и склады» – остатки, выручка, расходы на доставку;</w:t>
      </w:r>
    </w:p>
    <w:p w14:paraId="3BD5D587" w14:textId="6ABBD04E" w:rsidR="00E36002" w:rsidRPr="008F2A02" w:rsidRDefault="00E36002" w:rsidP="008F2A02">
      <w:pPr>
        <w:pStyle w:val="pdq2pgselectionanchorcontainer"/>
        <w:rPr>
          <w:lang w:val="ru-RU"/>
        </w:rPr>
      </w:pPr>
      <w:r>
        <w:t xml:space="preserve">Страница </w:t>
      </w:r>
      <w:r>
        <w:rPr>
          <w:rStyle w:val="a4"/>
        </w:rPr>
        <w:t>«Логистика и склады»</w:t>
      </w:r>
      <w:r>
        <w:t xml:space="preserve"> предназначена для анализа складских запасов, выручки складов и тарифов на доставку. Общая выручка складов составляет </w:t>
      </w:r>
      <w:r>
        <w:rPr>
          <w:rStyle w:val="a4"/>
        </w:rPr>
        <w:t>298,29 млн</w:t>
      </w:r>
      <w:r>
        <w:t xml:space="preserve">, сумма представленных тарифов </w:t>
      </w:r>
      <w:r>
        <w:rPr>
          <w:lang w:val="ru-RU"/>
        </w:rPr>
        <w:t>–</w:t>
      </w:r>
      <w:r>
        <w:t xml:space="preserve"> </w:t>
      </w:r>
      <w:r>
        <w:rPr>
          <w:rStyle w:val="a4"/>
        </w:rPr>
        <w:t>60,52 тыс.</w:t>
      </w:r>
      <w:r>
        <w:t xml:space="preserve">, их условное отношение к выручке </w:t>
      </w:r>
      <w:r>
        <w:rPr>
          <w:lang w:val="ru-RU"/>
        </w:rPr>
        <w:t>–</w:t>
      </w:r>
      <w:r>
        <w:t xml:space="preserve"> </w:t>
      </w:r>
      <w:r>
        <w:rPr>
          <w:rStyle w:val="a4"/>
        </w:rPr>
        <w:t>0,02%</w:t>
      </w:r>
      <w:r>
        <w:t xml:space="preserve">. Таблица показывает остатки товаров по складам, диаграмма позволяет сравнить выручку складов, а распределение тарифов </w:t>
      </w:r>
      <w:r>
        <w:rPr>
          <w:lang w:val="ru-RU"/>
        </w:rPr>
        <w:t>–</w:t>
      </w:r>
      <w:r>
        <w:t xml:space="preserve"> регионы и способы доставки с наиболее высокой стоимостью. Срезы по региону и методу доставки используются для детального анализа. При этом тарифы не являются фактическими расходами, поскольку в данных нет количества выполненных доставок.</w:t>
      </w:r>
    </w:p>
    <w:p w14:paraId="31572EBC" w14:textId="78B0F85D" w:rsidR="008F2A02" w:rsidRDefault="008F2A02" w:rsidP="00E36002">
      <w:pPr>
        <w:pStyle w:val="a3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E36002">
        <w:rPr>
          <w:b/>
          <w:bCs/>
          <w:color w:val="000000"/>
        </w:rPr>
        <w:t>Страница «Клиенты и регионы» – распределение клиентов, динамика заказов;</w:t>
      </w:r>
    </w:p>
    <w:p w14:paraId="38350571" w14:textId="77777777" w:rsidR="00E11E6A" w:rsidRDefault="00E11E6A" w:rsidP="00E36002">
      <w:pPr>
        <w:pStyle w:val="a3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5CCE9AF6" w14:textId="4BF70D9A" w:rsidR="000A12E7" w:rsidRDefault="00E11E6A" w:rsidP="00E36002">
      <w:pPr>
        <w:pStyle w:val="a3"/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t xml:space="preserve">Страница </w:t>
      </w:r>
      <w:r>
        <w:rPr>
          <w:rStyle w:val="a4"/>
        </w:rPr>
        <w:t>«Клиенты и регионы»</w:t>
      </w:r>
      <w:r>
        <w:t xml:space="preserve"> показывает клиентскую базу и её географическое распределение. Всего зарегистрирован </w:t>
      </w:r>
      <w:r>
        <w:rPr>
          <w:rStyle w:val="a4"/>
        </w:rPr>
        <w:t>201 клиент</w:t>
      </w:r>
      <w:r>
        <w:t xml:space="preserve">, оформлено около </w:t>
      </w:r>
      <w:r>
        <w:rPr>
          <w:rStyle w:val="a4"/>
        </w:rPr>
        <w:t>2 тыс. заказов</w:t>
      </w:r>
      <w:r>
        <w:t xml:space="preserve">, средняя сумма заказа составляет </w:t>
      </w:r>
      <w:r>
        <w:rPr>
          <w:rStyle w:val="a4"/>
        </w:rPr>
        <w:t>252,18 тыс.</w:t>
      </w:r>
      <w:r>
        <w:t xml:space="preserve"> Наибольшее количество клиентов сосредоточено в Атырау, Павлодаре и Алматы. График регистрации показывает неравномерный приток новых клиентов с наиболее заметными пиками в октябре 2023 и январе 2024 года.</w:t>
      </w:r>
    </w:p>
    <w:p w14:paraId="17C9B289" w14:textId="77777777" w:rsidR="00E36002" w:rsidRPr="00E36002" w:rsidRDefault="00E36002" w:rsidP="00E36002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8A8AE32" w14:textId="37D11203" w:rsidR="008F2A02" w:rsidRPr="00E36002" w:rsidRDefault="008F2A02" w:rsidP="00E36002">
      <w:pPr>
        <w:pStyle w:val="a3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E36002">
        <w:rPr>
          <w:b/>
          <w:bCs/>
          <w:color w:val="000000"/>
        </w:rPr>
        <w:t>Страница «Сотрудники и эффективность» – численность, расходы, KPI на одного сотрудника.</w:t>
      </w:r>
    </w:p>
    <w:p w14:paraId="6AACDCEC" w14:textId="4B724401" w:rsidR="008F2A02" w:rsidRDefault="008F2A02" w:rsidP="008F2A02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79A7A776" w14:textId="2295FED2" w:rsidR="00AC51A4" w:rsidRDefault="00AC51A4" w:rsidP="008F2A02">
      <w:pPr>
        <w:pStyle w:val="a3"/>
        <w:spacing w:before="0" w:beforeAutospacing="0" w:after="0" w:afterAutospacing="0"/>
        <w:textAlignment w:val="baseline"/>
        <w:rPr>
          <w:color w:val="000000"/>
        </w:rPr>
      </w:pPr>
      <w:r>
        <w:t xml:space="preserve">Страница </w:t>
      </w:r>
      <w:r>
        <w:rPr>
          <w:rStyle w:val="a4"/>
        </w:rPr>
        <w:t>«Сотрудники и эффективность»</w:t>
      </w:r>
      <w:r>
        <w:t xml:space="preserve"> отражает численность персонала и производительность складов. Всего работает </w:t>
      </w:r>
      <w:r>
        <w:rPr>
          <w:rStyle w:val="a4"/>
        </w:rPr>
        <w:t>101 сотрудник</w:t>
      </w:r>
      <w:r>
        <w:t xml:space="preserve">, средняя зарплата составляет </w:t>
      </w:r>
      <w:r>
        <w:rPr>
          <w:rStyle w:val="a4"/>
        </w:rPr>
        <w:t>338,02 тыс.</w:t>
      </w:r>
      <w:r>
        <w:t xml:space="preserve">, общий зарплатный фонд </w:t>
      </w:r>
      <w:r w:rsidR="00654C7E">
        <w:rPr>
          <w:lang w:val="ru-RU"/>
        </w:rPr>
        <w:t>-</w:t>
      </w:r>
      <w:r>
        <w:t xml:space="preserve"> </w:t>
      </w:r>
      <w:r>
        <w:rPr>
          <w:rStyle w:val="a4"/>
        </w:rPr>
        <w:t>34,14 млн</w:t>
      </w:r>
      <w:r>
        <w:t xml:space="preserve">, а средняя выручка на одного сотрудника </w:t>
      </w:r>
      <w:r w:rsidR="00654C7E">
        <w:rPr>
          <w:lang w:val="ru-RU"/>
        </w:rPr>
        <w:t>-</w:t>
      </w:r>
      <w:r>
        <w:t xml:space="preserve"> </w:t>
      </w:r>
      <w:r>
        <w:rPr>
          <w:rStyle w:val="a4"/>
        </w:rPr>
        <w:t>2,95 млн</w:t>
      </w:r>
      <w:r>
        <w:t>. Диаграммы и таблица позволяют сравнить склады по числу работников, выручке, товарным остаткам и нагрузке на персонал, а фильтр по должности помогает анализировать отдельные категории сотрудников.</w:t>
      </w:r>
    </w:p>
    <w:p w14:paraId="2E698A87" w14:textId="70BB8890" w:rsidR="00643DBA" w:rsidRDefault="00643DBA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6572DDB8" w14:textId="52CD7E57" w:rsidR="00323AB0" w:rsidRDefault="00323AB0" w:rsidP="00323AB0">
      <w:pPr>
        <w:pStyle w:val="a3"/>
        <w:spacing w:before="0" w:beforeAutospacing="0" w:after="0" w:afterAutospacing="0"/>
        <w:textAlignment w:val="baseline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Страница «Возвраты»</w:t>
      </w:r>
    </w:p>
    <w:p w14:paraId="309411A8" w14:textId="2E051278" w:rsidR="00643DBA" w:rsidRPr="00863FD6" w:rsidRDefault="00323AB0" w:rsidP="00323AB0">
      <w:pPr>
        <w:pStyle w:val="a3"/>
        <w:spacing w:before="0" w:beforeAutospacing="0" w:after="0" w:afterAutospacing="0"/>
        <w:jc w:val="both"/>
        <w:textAlignment w:val="baseline"/>
        <w:rPr>
          <w:b/>
          <w:bCs/>
          <w:color w:val="000000"/>
          <w:lang w:val="en-US"/>
        </w:rPr>
      </w:pPr>
      <w:r>
        <w:t xml:space="preserve">Страница </w:t>
      </w:r>
      <w:r>
        <w:rPr>
          <w:rStyle w:val="a4"/>
        </w:rPr>
        <w:t>«Возвраты»</w:t>
      </w:r>
      <w:r>
        <w:t xml:space="preserve"> показывает масштаб и структуру возвратов: возвращено </w:t>
      </w:r>
      <w:r>
        <w:rPr>
          <w:rStyle w:val="a4"/>
        </w:rPr>
        <w:t>340 заказов</w:t>
      </w:r>
      <w:r>
        <w:t xml:space="preserve">, а доля возвратов по количеству товаров составляет </w:t>
      </w:r>
      <w:r>
        <w:rPr>
          <w:rStyle w:val="a4"/>
        </w:rPr>
        <w:t>18,7%</w:t>
      </w:r>
      <w:r>
        <w:t xml:space="preserve">. Наиболее высокая доля возвратов наблюдается в категории </w:t>
      </w:r>
      <w:r>
        <w:rPr>
          <w:rStyle w:val="a4"/>
        </w:rPr>
        <w:t>Household</w:t>
      </w:r>
      <w:r>
        <w:rPr>
          <w:rStyle w:val="a4"/>
          <w:lang w:val="ru-RU"/>
        </w:rPr>
        <w:t xml:space="preserve"> (Хозтовары)</w:t>
      </w:r>
      <w:r>
        <w:t xml:space="preserve">, а среди регионов </w:t>
      </w:r>
      <w:r>
        <w:rPr>
          <w:lang w:val="ru-RU"/>
        </w:rPr>
        <w:t>-</w:t>
      </w:r>
      <w:r>
        <w:t xml:space="preserve"> в </w:t>
      </w:r>
      <w:r>
        <w:rPr>
          <w:rStyle w:val="a4"/>
        </w:rPr>
        <w:t>Акмолинской и Павлодарской областях</w:t>
      </w:r>
      <w:r>
        <w:t xml:space="preserve">. </w:t>
      </w:r>
    </w:p>
    <w:p w14:paraId="3C2777EF" w14:textId="77777777" w:rsidR="00643DBA" w:rsidRDefault="00643DBA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5860E509" w14:textId="77777777" w:rsidR="00643DBA" w:rsidRDefault="00643DBA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57122840" w14:textId="5E17887F" w:rsidR="00643DBA" w:rsidRDefault="00643DBA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47DC69E5" w14:textId="6DD75666" w:rsidR="00B5584E" w:rsidRDefault="00B5584E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791A6995" w14:textId="055173F1" w:rsidR="00B5584E" w:rsidRDefault="00B5584E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20D98CF0" w14:textId="5500A95B" w:rsidR="00B5584E" w:rsidRDefault="00B5584E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156DDD8E" w14:textId="32D94DBB" w:rsidR="00B5584E" w:rsidRDefault="00B5584E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5587BACD" w14:textId="53162955" w:rsidR="00B5584E" w:rsidRDefault="00B5584E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143C7A13" w14:textId="6F23D65C" w:rsidR="00B5584E" w:rsidRDefault="00B5584E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p w14:paraId="4CE36EBF" w14:textId="77777777" w:rsidR="00B5584E" w:rsidRDefault="00B5584E" w:rsidP="00E36002">
      <w:pPr>
        <w:pStyle w:val="a3"/>
        <w:spacing w:before="0" w:beforeAutospacing="0" w:after="0" w:afterAutospacing="0"/>
        <w:jc w:val="center"/>
        <w:textAlignment w:val="baseline"/>
        <w:rPr>
          <w:b/>
          <w:bCs/>
          <w:color w:val="000000"/>
          <w:lang w:val="ru-RU"/>
        </w:rPr>
      </w:pPr>
    </w:p>
    <w:sectPr w:rsidR="00B55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104"/>
    <w:multiLevelType w:val="hybridMultilevel"/>
    <w:tmpl w:val="4DF654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249A"/>
    <w:multiLevelType w:val="multilevel"/>
    <w:tmpl w:val="CCE2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25E8A"/>
    <w:multiLevelType w:val="hybridMultilevel"/>
    <w:tmpl w:val="782806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62269"/>
    <w:multiLevelType w:val="hybridMultilevel"/>
    <w:tmpl w:val="4B7654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02"/>
    <w:rsid w:val="0007034B"/>
    <w:rsid w:val="000A12E7"/>
    <w:rsid w:val="00323AB0"/>
    <w:rsid w:val="00643DBA"/>
    <w:rsid w:val="00644BDE"/>
    <w:rsid w:val="00654C7E"/>
    <w:rsid w:val="00767A89"/>
    <w:rsid w:val="007B5003"/>
    <w:rsid w:val="00863FD6"/>
    <w:rsid w:val="0089108F"/>
    <w:rsid w:val="008F2A02"/>
    <w:rsid w:val="00AC51A4"/>
    <w:rsid w:val="00B5584E"/>
    <w:rsid w:val="00C2205C"/>
    <w:rsid w:val="00E05CD4"/>
    <w:rsid w:val="00E11E6A"/>
    <w:rsid w:val="00E36002"/>
    <w:rsid w:val="00EB0D84"/>
    <w:rsid w:val="00EC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C4D3BA"/>
  <w15:chartTrackingRefBased/>
  <w15:docId w15:val="{75E84079-DFDE-42F1-B5AB-4D7D2C6B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2A02"/>
    <w:pPr>
      <w:spacing w:before="100" w:beforeAutospacing="1" w:after="100" w:afterAutospacing="1" w:line="240" w:lineRule="auto"/>
    </w:pPr>
    <w:rPr>
      <w:rFonts w:eastAsia="Times New Roman"/>
      <w:lang w:eastAsia="ru-KZ"/>
    </w:rPr>
  </w:style>
  <w:style w:type="paragraph" w:customStyle="1" w:styleId="pdq2pgselectionanchorcontainer">
    <w:name w:val="pdq2pg_selectionanchorcontainer"/>
    <w:basedOn w:val="a"/>
    <w:rsid w:val="008F2A02"/>
    <w:pPr>
      <w:spacing w:before="100" w:beforeAutospacing="1" w:after="100" w:afterAutospacing="1" w:line="240" w:lineRule="auto"/>
    </w:pPr>
    <w:rPr>
      <w:rFonts w:eastAsia="Times New Roman"/>
      <w:lang w:eastAsia="ru-KZ"/>
    </w:rPr>
  </w:style>
  <w:style w:type="character" w:styleId="a4">
    <w:name w:val="Strong"/>
    <w:basedOn w:val="a0"/>
    <w:uiPriority w:val="22"/>
    <w:qFormat/>
    <w:rsid w:val="008F2A02"/>
    <w:rPr>
      <w:b/>
      <w:bCs/>
    </w:rPr>
  </w:style>
  <w:style w:type="paragraph" w:styleId="a5">
    <w:name w:val="List Paragraph"/>
    <w:basedOn w:val="a"/>
    <w:uiPriority w:val="34"/>
    <w:qFormat/>
    <w:rsid w:val="008F2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1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0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35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8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Заурбекова</dc:creator>
  <cp:keywords/>
  <dc:description/>
  <cp:lastModifiedBy>Жанна Заурбекова</cp:lastModifiedBy>
  <cp:revision>4</cp:revision>
  <dcterms:created xsi:type="dcterms:W3CDTF">2026-07-22T17:28:00Z</dcterms:created>
  <dcterms:modified xsi:type="dcterms:W3CDTF">2026-07-23T05:20:00Z</dcterms:modified>
</cp:coreProperties>
</file>