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color w:val="8B0000"/>
          <w:sz w:val="64"/>
        </w:rPr>
        <w:t>数据来源与授权声明</w:t>
      </w:r>
    </w:p>
    <w:p/>
    <w:p/>
    <w:p/>
    <w:p/>
    <w:p>
      <w:pPr>
        <w:jc w:val="center"/>
      </w:pPr>
      <w:r>
        <w:rPr>
          <w:sz w:val="28"/>
        </w:rPr>
        <w:t>参赛团队：[团队名称]</w:t>
      </w:r>
    </w:p>
    <w:p>
      <w:pPr>
        <w:jc w:val="center"/>
      </w:pPr>
      <w:r>
        <w:rPr>
          <w:sz w:val="28"/>
        </w:rPr>
        <w:t>日期：2026年07月</w:t>
      </w:r>
    </w:p>
    <w:p>
      <w:pPr>
        <w:jc w:val="center"/>
      </w:pPr>
      <w:r>
        <w:rPr>
          <w:sz w:val="28"/>
        </w:rPr>
        <w:t>仅限第三届大学生数据要素素质大赛使用</w:t>
      </w:r>
    </w:p>
    <w:p>
      <w:r>
        <w:br w:type="page"/>
      </w:r>
    </w:p>
    <w:p>
      <w:pPr>
        <w:pStyle w:val="Heading1"/>
      </w:pPr>
      <w:r>
        <w:t>一、数据来源总览</w:t>
      </w:r>
    </w:p>
    <w:p>
      <w:r>
        <w:t>本数据集共包含233项文化数字资产，数据来源覆盖全国31个省/自治区/直辖市。数据采集严格遵守各来源网站的robots.txt协议和使用条款。</w:t>
      </w:r>
    </w:p>
    <w:p>
      <w:pPr>
        <w:pStyle w:val="Heading2"/>
      </w:pPr>
      <w:r>
        <w:t>1.1 西安深度项目（9项）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主要来源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授权状态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秦始皇兵马俑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文物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秦始皇帝陵博物院官网/UNESCO/Wikimedia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CC BY-SA / 官方公开信息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碑林·石台孝经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西安碑林博物馆官网/百度百科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官方公开信息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镶金兽首玛瑙杯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文物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陕西历史博物馆官网/百度百科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官方公开信息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西安鼓乐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中国非遗网/UNESCO非遗页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非遗保护中心公开信息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华阴老腔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非遗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中国非遗网/央视纪录片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合理引用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陕西皮影戏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中国非遗网/UNESCO非遗页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非遗保护中心公开信息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西安城墙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文旅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城墙管委会官网/Wikimedia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CC BY-SA / 官方公开信息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大唐不夜城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曲江新区管委会/官方自媒体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官方公开信息 / 合理引用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华清宫·长恨歌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文旅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华清宫景区官网/陕旅集团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官方公开信息 / 合理引用</w:t>
            </w:r>
          </w:p>
        </w:tc>
      </w:tr>
    </w:tbl>
    <w:p>
      <w:pPr>
        <w:pStyle w:val="Heading2"/>
      </w:pPr>
      <w:r>
        <w:t>1.2 陕西全省资产（102项）</w:t>
      </w:r>
    </w:p>
    <w:p>
      <w:r>
        <w:t>覆盖陕西省10个地级市（西安/铜川/宝鸡/咸阳/渭南/延安/汉中/榆林/安康/商洛），每市至少10项文化数字资产。数据来源于各市文旅局官网、博物院/景区官方网站、百度百科、中国非遗网等公开渠道。</w:t>
      </w:r>
    </w:p>
    <w:p>
      <w:pPr>
        <w:pStyle w:val="Heading2"/>
      </w:pPr>
      <w:r>
        <w:t>1.3 全国重点资产（122项）</w:t>
      </w:r>
    </w:p>
    <w:p>
      <w:r>
        <w:t>覆盖全国31个省/自治区/直辖市，涵盖全国重点文物保护单位、世界文化遗产、国家级非物质文化遗产、国家AAAAA级旅游景区等。数据来源于各省文旅厅官网、国家文物局公开数据、UNESCO世界遗产中心、中国非遗网（ihchina.cn）、百度百科及各景区/博物院官方网站。</w:t>
      </w:r>
    </w:p>
    <w:p>
      <w:pPr>
        <w:pStyle w:val="Heading1"/>
      </w:pPr>
      <w:r>
        <w:t>二、授权条款</w:t>
      </w:r>
    </w:p>
    <w:p>
      <w:r>
        <w:t>1. 所有数据来源于公开渠道，采集过程遵守各网站 robots.txt 协议和使用条款。</w:t>
      </w:r>
    </w:p>
    <w:p>
      <w:r>
        <w:t>2. CC 授权图片按要求标注作者和许可类型（CC BY-SA / CC BY / CC0）。</w:t>
      </w:r>
    </w:p>
    <w:p>
      <w:r>
        <w:t>3. 官方网站公开数据为合理引用，均在数据溯源字段（schema:citation）注明出处。</w:t>
      </w:r>
    </w:p>
    <w:p>
      <w:r>
        <w:t>4. 本数据集仅用于第三届大学生数据要素素质大赛参赛用途，严禁复制、传播、商用。</w:t>
      </w:r>
    </w:p>
    <w:p>
      <w:r>
        <w:t>5. 如需扩展用途（如商业授权、公开发布），应与原始数据持有方另行确认授权。</w:t>
      </w:r>
    </w:p>
    <w:p>
      <w:r>
        <w:t>6. AI生成的多模态内容（文案/图片提示词/视频脚本）为参赛团队基于公开文化知识原创创作，版权归团队所有。</w:t>
      </w:r>
    </w:p>
    <w:p>
      <w:r>
        <w:t>7. 参赛队伍对数据使用及成果合规性承担全部责任。</w:t>
      </w:r>
    </w:p>
    <w:p>
      <w:pPr>
        <w:pStyle w:val="Heading1"/>
      </w:pPr>
      <w:r>
        <w:t>三、自采集内容承诺</w:t>
      </w:r>
    </w:p>
    <w:p>
      <w:r>
        <w:t>本团队承诺：所有自行整理、撰写的文本描述内容（233项资产的description字段，总计约40.775千字）均为团队成员基于公开文献的原创撰写或合理摘编，经DeepSeek API辅助扩充后人工审核；如有引用已标注来源。图片资源均来自CC授权或官方网站公开资源。未使用任何违规获取、侵犯他人知识产权或未经授权的数据。</w:t>
      </w:r>
    </w:p>
    <w:p>
      <w:pPr>
        <w:pStyle w:val="Heading1"/>
      </w:pPr>
      <w:r>
        <w:t>四、第三方工具与API声明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工具/API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授权状态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DeepSeek API (deepseek-chat)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文本描述扩充、智能分类、内容生成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API Key授权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豆包 Volcengine ARK (Seedream/Seedance)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AI图片生成、AI视频生成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Key授权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Edge TTS (Microsoft)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语音合成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免费使用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ECharts + 阿里云DataV GeoJSON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前端地图可视化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Apache 2.0 / 免费使用</w:t>
            </w:r>
          </w:p>
        </w:tc>
      </w:tr>
      <w:tr>
        <w:tc>
          <w:tcPr>
            <w:tcW w:type="dxa" w:w="2880"/>
            <w:shd w:fill="F8F8F8"/>
          </w:tcPr>
          <w:p>
            <w:r/>
            <w:r>
              <w:rPr>
                <w:b/>
                <w:sz w:val="18"/>
              </w:rPr>
              <w:t>React / Vite / TailwindCSS / Framer Motion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前端框架</w:t>
            </w:r>
          </w:p>
        </w:tc>
        <w:tc>
          <w:tcPr>
            <w:tcW w:type="dxa" w:w="2880"/>
            <w:shd w:fill="F8F8F8"/>
          </w:tcPr>
          <w:p>
            <w:r/>
            <w:r>
              <w:rPr>
                <w:sz w:val="18"/>
              </w:rPr>
              <w:t>MIT 开源许可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FastAPI / Uvicorn / SQLite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后端框架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MIT / 公共领域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8B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B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